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Ind w:w="-227" w:type="dxa"/>
        <w:tblLayout w:type="fixed"/>
        <w:tblLook w:val="01E0"/>
      </w:tblPr>
      <w:tblGrid>
        <w:gridCol w:w="4020"/>
        <w:gridCol w:w="5847"/>
      </w:tblGrid>
      <w:tr w:rsidR="00B301BD" w:rsidRPr="00D43AAD" w:rsidTr="00CC47F8">
        <w:trPr>
          <w:trHeight w:val="1134"/>
        </w:trPr>
        <w:tc>
          <w:tcPr>
            <w:tcW w:w="4020" w:type="dxa"/>
          </w:tcPr>
          <w:p w:rsidR="00B301BD" w:rsidRPr="00D43AAD" w:rsidRDefault="00B301BD" w:rsidP="00B469C3">
            <w:pPr>
              <w:pStyle w:val="Title"/>
              <w:widowControl w:val="0"/>
              <w:rPr>
                <w:rFonts w:ascii="Times New Roman" w:hAnsi="Times New Roman"/>
                <w:b w:val="0"/>
              </w:rPr>
            </w:pPr>
            <w:r w:rsidRPr="00D43AAD">
              <w:rPr>
                <w:rFonts w:ascii="Times New Roman" w:hAnsi="Times New Roman"/>
                <w:b w:val="0"/>
              </w:rPr>
              <w:t>BỘ NÔNG NGHIỆP</w:t>
            </w:r>
          </w:p>
          <w:p w:rsidR="00B301BD" w:rsidRPr="00D43AAD" w:rsidRDefault="00B301BD" w:rsidP="00B469C3">
            <w:pPr>
              <w:pStyle w:val="Title"/>
              <w:widowControl w:val="0"/>
              <w:rPr>
                <w:rFonts w:ascii="Times New Roman" w:hAnsi="Times New Roman"/>
              </w:rPr>
            </w:pPr>
            <w:r w:rsidRPr="00D43AAD">
              <w:rPr>
                <w:rFonts w:ascii="Times New Roman" w:hAnsi="Times New Roman"/>
                <w:b w:val="0"/>
              </w:rPr>
              <w:t>VÀ PHÁT TRIỂN NÔNG THÔN</w:t>
            </w:r>
          </w:p>
          <w:p w:rsidR="00B301BD" w:rsidRPr="00D43AAD" w:rsidRDefault="00B301BD" w:rsidP="00B469C3">
            <w:pPr>
              <w:pStyle w:val="Title"/>
              <w:widowControl w:val="0"/>
              <w:rPr>
                <w:rFonts w:ascii="Times New Roman" w:hAnsi="Times New Roman"/>
                <w:b w:val="0"/>
                <w:bCs w:val="0"/>
                <w:sz w:val="28"/>
              </w:rPr>
            </w:pPr>
            <w:r w:rsidRPr="00D43AAD">
              <w:rPr>
                <w:rFonts w:ascii="Times New Roman" w:hAnsi="Times New Roman"/>
                <w:sz w:val="28"/>
              </w:rPr>
              <w:t>TỔNG CỤC THUỶ SẢN</w:t>
            </w:r>
            <w:r w:rsidRPr="00D43AAD">
              <w:rPr>
                <w:rFonts w:ascii="Times New Roman" w:hAnsi="Times New Roman"/>
                <w:b w:val="0"/>
                <w:bCs w:val="0"/>
                <w:sz w:val="28"/>
              </w:rPr>
              <w:t xml:space="preserve"> </w:t>
            </w:r>
          </w:p>
          <w:p w:rsidR="00B301BD" w:rsidRPr="00D43AAD" w:rsidRDefault="00FC709E" w:rsidP="00B469C3">
            <w:pPr>
              <w:pStyle w:val="Title"/>
              <w:widowControl w:val="0"/>
              <w:rPr>
                <w:rFonts w:ascii="Times New Roman" w:hAnsi="Times New Roman"/>
                <w:sz w:val="8"/>
              </w:rPr>
            </w:pPr>
            <w:r w:rsidRPr="00FC709E">
              <w:rPr>
                <w:rFonts w:ascii="Times New Roman" w:hAnsi="Times New Roman"/>
                <w:bCs w:val="0"/>
                <w:noProof/>
                <w:sz w:val="16"/>
                <w:szCs w:val="16"/>
              </w:rPr>
              <w:pict>
                <v:line id="Line 2" o:spid="_x0000_s1043" style="position:absolute;left:0;text-align:left;z-index:251657728;visibility:visible" from="56.9pt,1.4pt" to="13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5X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"/>
              </w:pict>
            </w:r>
          </w:p>
        </w:tc>
        <w:tc>
          <w:tcPr>
            <w:tcW w:w="5847" w:type="dxa"/>
          </w:tcPr>
          <w:p w:rsidR="00B301BD" w:rsidRPr="00D43AAD" w:rsidRDefault="00B301BD" w:rsidP="00B469C3">
            <w:pPr>
              <w:pStyle w:val="Title"/>
              <w:widowControl w:val="0"/>
              <w:rPr>
                <w:rFonts w:ascii="Times New Roman" w:hAnsi="Times New Roman"/>
              </w:rPr>
            </w:pPr>
            <w:r w:rsidRPr="00D43AAD">
              <w:rPr>
                <w:rFonts w:ascii="Times New Roman" w:hAnsi="Times New Roman"/>
              </w:rPr>
              <w:t>CỘNG HÒA XÃ HỘI CHỦ NGHĨA VIỆT NAM</w:t>
            </w:r>
          </w:p>
          <w:p w:rsidR="00B301BD" w:rsidRPr="00D43AAD" w:rsidRDefault="00FC709E" w:rsidP="00B469C3">
            <w:pPr>
              <w:widowControl w:val="0"/>
              <w:spacing w:before="0" w:line="240" w:lineRule="auto"/>
              <w:ind w:left="0"/>
              <w:jc w:val="center"/>
              <w:rPr>
                <w:rFonts w:cs="Times New Roman"/>
                <w:b/>
                <w:bCs/>
              </w:rPr>
            </w:pPr>
            <w:r w:rsidRPr="00FC709E">
              <w:rPr>
                <w:rFonts w:cs="Times New Roman"/>
                <w:b/>
                <w:bCs/>
                <w:noProof/>
                <w:sz w:val="16"/>
                <w:szCs w:val="16"/>
              </w:rPr>
              <w:pict>
                <v:line id="Line 3" o:spid="_x0000_s1042" style="position:absolute;left:0;text-align:left;z-index:251658752;visibility:visible" from="54.3pt,20.5pt" to="226.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"/>
              </w:pict>
            </w:r>
            <w:r w:rsidR="00B301BD" w:rsidRPr="00D43AAD">
              <w:rPr>
                <w:rFonts w:cs="Times New Roman"/>
                <w:b/>
                <w:bCs/>
              </w:rPr>
              <w:t>Độc lập</w:t>
            </w:r>
            <w:r w:rsidR="005A2522" w:rsidRPr="00D43AAD">
              <w:rPr>
                <w:rFonts w:cs="Times New Roman"/>
                <w:b/>
                <w:bCs/>
              </w:rPr>
              <w:t xml:space="preserve"> </w:t>
            </w:r>
            <w:r w:rsidR="00B301BD" w:rsidRPr="00D43AAD">
              <w:rPr>
                <w:rFonts w:cs="Times New Roman"/>
                <w:b/>
                <w:bCs/>
              </w:rPr>
              <w:t>-</w:t>
            </w:r>
            <w:r w:rsidR="005A2522" w:rsidRPr="00D43AAD">
              <w:rPr>
                <w:rFonts w:cs="Times New Roman"/>
                <w:b/>
                <w:bCs/>
              </w:rPr>
              <w:t xml:space="preserve"> </w:t>
            </w:r>
            <w:r w:rsidR="00B301BD" w:rsidRPr="00D43AAD">
              <w:rPr>
                <w:rFonts w:cs="Times New Roman"/>
                <w:b/>
                <w:bCs/>
              </w:rPr>
              <w:t>Tự do</w:t>
            </w:r>
            <w:r w:rsidR="005A2522" w:rsidRPr="00D43AAD">
              <w:rPr>
                <w:rFonts w:cs="Times New Roman"/>
                <w:b/>
                <w:bCs/>
              </w:rPr>
              <w:t xml:space="preserve"> </w:t>
            </w:r>
            <w:r w:rsidR="00B301BD" w:rsidRPr="00D43AAD">
              <w:rPr>
                <w:rFonts w:cs="Times New Roman"/>
                <w:b/>
                <w:bCs/>
              </w:rPr>
              <w:t>-</w:t>
            </w:r>
            <w:r w:rsidR="005A2522" w:rsidRPr="00D43AAD">
              <w:rPr>
                <w:rFonts w:cs="Times New Roman"/>
                <w:b/>
                <w:bCs/>
              </w:rPr>
              <w:t xml:space="preserve"> </w:t>
            </w:r>
            <w:r w:rsidR="00B301BD" w:rsidRPr="00D43AAD">
              <w:rPr>
                <w:rFonts w:cs="Times New Roman"/>
                <w:b/>
                <w:bCs/>
              </w:rPr>
              <w:t>Hạnh phúc</w:t>
            </w:r>
          </w:p>
        </w:tc>
      </w:tr>
    </w:tbl>
    <w:p w:rsidR="00B301BD" w:rsidRPr="00D43AAD" w:rsidRDefault="00B301BD" w:rsidP="00D87A64">
      <w:pPr>
        <w:widowControl w:val="0"/>
        <w:spacing w:before="240" w:after="120" w:line="240" w:lineRule="auto"/>
        <w:ind w:left="0"/>
        <w:jc w:val="center"/>
        <w:rPr>
          <w:rFonts w:cs="Times New Roman"/>
          <w:b/>
          <w:szCs w:val="28"/>
        </w:rPr>
      </w:pPr>
      <w:r w:rsidRPr="00D43AAD">
        <w:rPr>
          <w:rFonts w:cs="Times New Roman"/>
          <w:b/>
          <w:szCs w:val="28"/>
        </w:rPr>
        <w:t>BÁO CÁO</w:t>
      </w:r>
    </w:p>
    <w:p w:rsidR="003A0EF1" w:rsidRPr="00D43AAD" w:rsidRDefault="00D87A64" w:rsidP="00D87A64">
      <w:pPr>
        <w:widowControl w:val="0"/>
        <w:spacing w:before="0" w:line="240" w:lineRule="auto"/>
        <w:ind w:left="0"/>
        <w:jc w:val="center"/>
        <w:rPr>
          <w:rFonts w:cs="Times New Roman"/>
          <w:b/>
          <w:sz w:val="26"/>
          <w:szCs w:val="26"/>
          <w:lang w:val="es-ES"/>
        </w:rPr>
      </w:pPr>
      <w:r w:rsidRPr="00D43AAD">
        <w:rPr>
          <w:rFonts w:cs="Times New Roman"/>
          <w:b/>
          <w:sz w:val="26"/>
          <w:szCs w:val="26"/>
          <w:lang w:val="es-ES"/>
        </w:rPr>
        <w:t xml:space="preserve">NHU CẦU, ĐỊNH HƯỚNG VÀ </w:t>
      </w:r>
      <w:r w:rsidR="00596743" w:rsidRPr="00D43AAD">
        <w:rPr>
          <w:rFonts w:cs="Times New Roman"/>
          <w:b/>
          <w:sz w:val="26"/>
          <w:szCs w:val="26"/>
          <w:lang w:val="es-ES"/>
        </w:rPr>
        <w:t>CHÍNH SÁCH</w:t>
      </w:r>
    </w:p>
    <w:p w:rsidR="00D87A64" w:rsidRPr="00D43AAD" w:rsidRDefault="00D87A64" w:rsidP="00D87A64">
      <w:pPr>
        <w:widowControl w:val="0"/>
        <w:spacing w:before="0" w:line="240" w:lineRule="auto"/>
        <w:ind w:left="0"/>
        <w:jc w:val="center"/>
        <w:rPr>
          <w:rFonts w:cs="Times New Roman"/>
          <w:b/>
          <w:sz w:val="26"/>
          <w:szCs w:val="26"/>
          <w:lang w:val="es-ES"/>
        </w:rPr>
      </w:pPr>
      <w:r w:rsidRPr="00D43AAD">
        <w:rPr>
          <w:rFonts w:cs="Times New Roman"/>
          <w:b/>
          <w:sz w:val="26"/>
          <w:szCs w:val="26"/>
          <w:lang w:val="es-ES"/>
        </w:rPr>
        <w:t xml:space="preserve">THU HÚT ĐẦU TƯ VÀO </w:t>
      </w:r>
      <w:r w:rsidR="00B20D68">
        <w:rPr>
          <w:rFonts w:cs="Times New Roman"/>
          <w:b/>
          <w:sz w:val="26"/>
          <w:szCs w:val="26"/>
          <w:lang w:val="es-ES"/>
        </w:rPr>
        <w:t>CÁC TRUNG TÂM NGHỀ CÁ LỚN</w:t>
      </w:r>
    </w:p>
    <w:p w:rsidR="00B301BD" w:rsidRPr="00D43AAD" w:rsidRDefault="00B301BD" w:rsidP="009457F9">
      <w:pPr>
        <w:widowControl w:val="0"/>
        <w:spacing w:line="240" w:lineRule="auto"/>
        <w:ind w:left="0"/>
        <w:jc w:val="center"/>
        <w:rPr>
          <w:rFonts w:eastAsia="Calibri" w:cs="Times New Roman"/>
          <w:i/>
          <w:sz w:val="26"/>
          <w:szCs w:val="26"/>
          <w:lang w:val="es-ES"/>
        </w:rPr>
      </w:pPr>
      <w:r w:rsidRPr="00D43AAD">
        <w:rPr>
          <w:rFonts w:cs="Times New Roman"/>
          <w:i/>
          <w:sz w:val="26"/>
          <w:szCs w:val="26"/>
          <w:lang w:val="es-ES"/>
        </w:rPr>
        <w:t xml:space="preserve">(Tài liệu </w:t>
      </w:r>
      <w:r w:rsidR="009457F9" w:rsidRPr="00D43AAD">
        <w:rPr>
          <w:rFonts w:cs="Times New Roman"/>
          <w:i/>
          <w:sz w:val="26"/>
          <w:szCs w:val="26"/>
          <w:lang w:val="es-ES"/>
        </w:rPr>
        <w:t>phục vụ</w:t>
      </w:r>
      <w:r w:rsidRPr="00D43AAD">
        <w:rPr>
          <w:rFonts w:cs="Times New Roman"/>
          <w:i/>
          <w:sz w:val="26"/>
          <w:szCs w:val="26"/>
          <w:lang w:val="es-ES"/>
        </w:rPr>
        <w:t xml:space="preserve"> Hội nghị ngày 11/</w:t>
      </w:r>
      <w:r w:rsidR="002F02D6">
        <w:rPr>
          <w:rFonts w:cs="Times New Roman"/>
          <w:i/>
          <w:sz w:val="26"/>
          <w:szCs w:val="26"/>
          <w:lang w:val="es-ES"/>
        </w:rPr>
        <w:t>2</w:t>
      </w:r>
      <w:r w:rsidRPr="00D43AAD">
        <w:rPr>
          <w:rFonts w:cs="Times New Roman"/>
          <w:i/>
          <w:sz w:val="26"/>
          <w:szCs w:val="26"/>
          <w:lang w:val="es-ES"/>
        </w:rPr>
        <w:t>/201</w:t>
      </w:r>
      <w:r w:rsidR="002F02D6">
        <w:rPr>
          <w:rFonts w:cs="Times New Roman"/>
          <w:i/>
          <w:sz w:val="26"/>
          <w:szCs w:val="26"/>
          <w:lang w:val="es-ES"/>
        </w:rPr>
        <w:t>9</w:t>
      </w:r>
      <w:r w:rsidR="00415F18" w:rsidRPr="00D43AAD">
        <w:rPr>
          <w:rFonts w:cs="Times New Roman"/>
          <w:i/>
          <w:sz w:val="26"/>
          <w:szCs w:val="26"/>
          <w:lang w:val="es-ES"/>
        </w:rPr>
        <w:t xml:space="preserve"> tại TP. </w:t>
      </w:r>
      <w:r w:rsidR="002F02D6">
        <w:rPr>
          <w:rFonts w:cs="Times New Roman"/>
          <w:i/>
          <w:sz w:val="26"/>
          <w:szCs w:val="26"/>
          <w:lang w:val="es-ES"/>
        </w:rPr>
        <w:t>Nha Trang, Khánh Hòa</w:t>
      </w:r>
      <w:r w:rsidRPr="00D43AAD">
        <w:rPr>
          <w:rFonts w:cs="Times New Roman"/>
          <w:i/>
          <w:sz w:val="26"/>
          <w:szCs w:val="26"/>
          <w:lang w:val="es-ES"/>
        </w:rPr>
        <w:t>)</w:t>
      </w:r>
    </w:p>
    <w:p w:rsidR="00B301BD" w:rsidRPr="00D43AAD" w:rsidRDefault="00FC709E" w:rsidP="00B469C3">
      <w:pPr>
        <w:widowControl w:val="0"/>
        <w:spacing w:before="0" w:line="240" w:lineRule="auto"/>
        <w:ind w:left="0"/>
        <w:jc w:val="center"/>
        <w:rPr>
          <w:rFonts w:cs="Times New Roman"/>
          <w:sz w:val="27"/>
          <w:szCs w:val="27"/>
        </w:rPr>
      </w:pPr>
      <w:r>
        <w:rPr>
          <w:rFonts w:cs="Times New Roman"/>
          <w:noProof/>
          <w:sz w:val="27"/>
          <w:szCs w:val="27"/>
        </w:rPr>
        <w:pict>
          <v:shapetype id="_x0000_t32" coordsize="21600,21600" o:spt="32" o:oned="t" path="m,l21600,21600e" filled="f">
            <v:path arrowok="t" fillok="f" o:connecttype="none"/>
            <o:lock v:ext="edit" shapetype="t"/>
          </v:shapetype>
          <v:shape id="AutoShape 6" o:spid="_x0000_s1041" type="#_x0000_t32" style="position:absolute;left:0;text-align:left;margin-left:190.8pt;margin-top:3.1pt;width:78.5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d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"/>
        </w:pict>
      </w:r>
    </w:p>
    <w:p w:rsidR="00217734" w:rsidRDefault="00217734" w:rsidP="00217734">
      <w:pPr>
        <w:pStyle w:val="ListParagraph"/>
        <w:widowControl w:val="0"/>
        <w:spacing w:line="240" w:lineRule="auto"/>
        <w:ind w:left="0" w:firstLine="709"/>
        <w:contextualSpacing w:val="0"/>
        <w:rPr>
          <w:rFonts w:cs="Times New Roman"/>
          <w:b/>
          <w:sz w:val="27"/>
          <w:szCs w:val="27"/>
        </w:rPr>
      </w:pPr>
    </w:p>
    <w:p w:rsidR="00D6209D" w:rsidRPr="00D43AAD" w:rsidRDefault="00217734" w:rsidP="00217734">
      <w:pPr>
        <w:pStyle w:val="ListParagraph"/>
        <w:widowControl w:val="0"/>
        <w:spacing w:line="240" w:lineRule="auto"/>
        <w:ind w:left="0" w:firstLine="709"/>
        <w:contextualSpacing w:val="0"/>
        <w:rPr>
          <w:rFonts w:cs="Times New Roman"/>
          <w:b/>
          <w:sz w:val="27"/>
          <w:szCs w:val="27"/>
        </w:rPr>
      </w:pPr>
      <w:r>
        <w:rPr>
          <w:rFonts w:cs="Times New Roman"/>
          <w:b/>
          <w:sz w:val="27"/>
          <w:szCs w:val="27"/>
        </w:rPr>
        <w:t xml:space="preserve">I. </w:t>
      </w:r>
      <w:r w:rsidR="00A547F6" w:rsidRPr="00D43AAD">
        <w:rPr>
          <w:rFonts w:cs="Times New Roman"/>
          <w:b/>
          <w:sz w:val="27"/>
          <w:szCs w:val="27"/>
        </w:rPr>
        <w:t>TỔNG QUAN NGÀNH THỦY SẢN</w:t>
      </w:r>
    </w:p>
    <w:p w:rsidR="00A547F6" w:rsidRPr="00D43AAD" w:rsidRDefault="00217734" w:rsidP="0066624F">
      <w:pPr>
        <w:pStyle w:val="BodyTextIndent"/>
        <w:widowControl w:val="0"/>
        <w:spacing w:line="276" w:lineRule="auto"/>
        <w:ind w:left="0" w:firstLine="720"/>
        <w:jc w:val="both"/>
        <w:rPr>
          <w:rFonts w:cs="Times New Roman"/>
          <w:b/>
          <w:szCs w:val="28"/>
        </w:rPr>
      </w:pPr>
      <w:r>
        <w:rPr>
          <w:rFonts w:cs="Times New Roman"/>
          <w:b/>
        </w:rPr>
        <w:t xml:space="preserve">1. </w:t>
      </w:r>
      <w:r w:rsidR="00A547F6" w:rsidRPr="00D43AAD">
        <w:rPr>
          <w:rFonts w:cs="Times New Roman"/>
          <w:b/>
          <w:szCs w:val="28"/>
        </w:rPr>
        <w:t>Kết quả sản xuất thủy sản</w:t>
      </w:r>
    </w:p>
    <w:p w:rsidR="0066624F" w:rsidRPr="00D43AAD" w:rsidRDefault="0066624F" w:rsidP="00217734">
      <w:pPr>
        <w:pStyle w:val="BodyTextIndent"/>
        <w:widowControl w:val="0"/>
        <w:spacing w:line="276" w:lineRule="auto"/>
        <w:ind w:left="0" w:firstLine="720"/>
        <w:jc w:val="both"/>
        <w:rPr>
          <w:rFonts w:cs="Times New Roman"/>
          <w:szCs w:val="28"/>
        </w:rPr>
      </w:pPr>
      <w:r w:rsidRPr="00D43AAD">
        <w:rPr>
          <w:rFonts w:cs="Times New Roman"/>
          <w:szCs w:val="28"/>
        </w:rPr>
        <w:t xml:space="preserve">Trong </w:t>
      </w:r>
      <w:r w:rsidRPr="00D43AAD">
        <w:rPr>
          <w:rFonts w:cs="Times New Roman"/>
          <w:szCs w:val="28"/>
          <w:lang w:val="vi-VN"/>
        </w:rPr>
        <w:t>giai đoạn</w:t>
      </w:r>
      <w:r w:rsidRPr="00D43AAD">
        <w:rPr>
          <w:rFonts w:cs="Times New Roman"/>
          <w:szCs w:val="28"/>
        </w:rPr>
        <w:t xml:space="preserve"> 2010-2017, ngành thủy sản đạt mức tăng trưởng bình quân 4,7%/năm, trong đó giá trị sản xuất trong khai thác đạt 4,4%/năm và nuôi trồng đạt 4,9%/năm. </w:t>
      </w:r>
      <w:r w:rsidRPr="00D43AAD">
        <w:rPr>
          <w:rFonts w:cs="Times New Roman"/>
          <w:b/>
          <w:szCs w:val="28"/>
        </w:rPr>
        <w:t>Giá trị tổng sản phẩm</w:t>
      </w:r>
      <w:r w:rsidRPr="00D43AAD">
        <w:rPr>
          <w:rFonts w:cs="Times New Roman"/>
          <w:szCs w:val="28"/>
        </w:rPr>
        <w:t xml:space="preserve"> thủy sản (GDP) đạt tốc độ tăng 4,</w:t>
      </w:r>
      <w:r w:rsidRPr="00D43AAD">
        <w:rPr>
          <w:rFonts w:cs="Times New Roman"/>
          <w:szCs w:val="28"/>
          <w:lang w:val="vi-VN"/>
        </w:rPr>
        <w:t>5</w:t>
      </w:r>
      <w:r w:rsidRPr="00D43AAD">
        <w:rPr>
          <w:rFonts w:cs="Times New Roman"/>
          <w:szCs w:val="28"/>
        </w:rPr>
        <w:t xml:space="preserve">%/năm. Sản lượng thủy sản đạt tốc độ tăng trung bình 5,0%/năm, giá trị xuất khẩu đạt 7,4%/năm. </w:t>
      </w:r>
    </w:p>
    <w:p w:rsidR="0066624F" w:rsidRPr="00D43AAD" w:rsidRDefault="0066624F" w:rsidP="00217734">
      <w:pPr>
        <w:pStyle w:val="BodyTextIndent"/>
        <w:widowControl w:val="0"/>
        <w:spacing w:line="276" w:lineRule="auto"/>
        <w:ind w:left="0" w:firstLine="720"/>
        <w:jc w:val="both"/>
        <w:rPr>
          <w:rFonts w:cs="Times New Roman"/>
          <w:szCs w:val="28"/>
        </w:rPr>
      </w:pPr>
      <w:r w:rsidRPr="00D43AAD">
        <w:rPr>
          <w:rFonts w:cs="Times New Roman"/>
          <w:szCs w:val="28"/>
        </w:rPr>
        <w:t xml:space="preserve">Năm 2017, </w:t>
      </w:r>
      <w:r w:rsidRPr="00D43AAD">
        <w:rPr>
          <w:rFonts w:cs="Times New Roman"/>
          <w:b/>
          <w:szCs w:val="28"/>
        </w:rPr>
        <w:t>tổng sản lượng</w:t>
      </w:r>
      <w:r w:rsidRPr="00D43AAD">
        <w:rPr>
          <w:rFonts w:cs="Times New Roman"/>
          <w:szCs w:val="28"/>
        </w:rPr>
        <w:t xml:space="preserve"> thủy sản đạt trên 7,2 triệu tấn, tốc độ trung bình 5,0%/năm cả giai đoạn 2011-2017. Trong đó, sản lượng khai thác đạt trên 3,3 triệu tấn, tăng 4,9%/năm; sản lượng nuôi trồng đạt trên 3,8 triệu tấn, tăng 5,7%/năm. </w:t>
      </w:r>
      <w:r w:rsidRPr="00D43AAD">
        <w:rPr>
          <w:rFonts w:cs="Times New Roman"/>
          <w:b/>
          <w:szCs w:val="28"/>
        </w:rPr>
        <w:t>Kim ngạch xuất khẩu</w:t>
      </w:r>
      <w:r w:rsidRPr="00D43AAD">
        <w:rPr>
          <w:rFonts w:cs="Times New Roman"/>
          <w:szCs w:val="28"/>
        </w:rPr>
        <w:t xml:space="preserve"> đạt 8,3 tỷ USD, tăng trung bình 7,4%/năm; trong đó tôm đạt 3,85 tỷ USD (đứng thứ 2 thế giới năm 2015), cá tra 1,79 tỷ USD (luôn duy trì vị trí số 1), mực và bạch tuộc 620 triệu (đứng thứ 5 năm 2015), cá ngừ 592 triệu USD (đứng thứ 8 năm 2015). Sản phẩm thủy sản đã có mặt tại 156 quốc gia và vùng lãnh thổ, trong đó tôm đã có mặt tại 93 thị trường, cá tra 142 thị trường, cá ngừ 90 thị trường. </w:t>
      </w:r>
    </w:p>
    <w:p w:rsidR="0066624F" w:rsidRDefault="0066624F" w:rsidP="00217734">
      <w:pPr>
        <w:spacing w:after="120" w:line="276" w:lineRule="auto"/>
        <w:ind w:left="0" w:firstLine="709"/>
        <w:jc w:val="both"/>
        <w:rPr>
          <w:rFonts w:cs="Times New Roman"/>
          <w:szCs w:val="28"/>
          <w:lang w:val="nl-NL"/>
        </w:rPr>
      </w:pPr>
      <w:r w:rsidRPr="00D43AAD">
        <w:rPr>
          <w:rFonts w:cs="Times New Roman"/>
          <w:szCs w:val="28"/>
          <w:lang w:val="nl-NL"/>
        </w:rPr>
        <w:t xml:space="preserve">Kết quả sản xuất thủy sản đến hết năm 2017 cho thấy tốc độ tăng trưởng được duy trì liên tục và ở mức độ khá cao. Trong đó, nuôi trồng thủy sản phát triển nhanh hơn khai thác, giữ vững được vị thế đối với 2 sản phẩm chủ lực là cá tra và tôm. Đồng thời với việc giảm số lượng tàu cá (giảm trên 13 nghìn tàu trong 10 năm qua) và hạn chế khai thác ven bờ ngành thủy sản đã đẩy mạnh việc đẩy mạnh phát triển đội tàu khai thác xa bờ hiện đại, công suất lớn với trên gần </w:t>
      </w:r>
      <w:r w:rsidR="00217734">
        <w:rPr>
          <w:rFonts w:cs="Times New Roman"/>
          <w:szCs w:val="28"/>
          <w:lang w:val="nl-NL"/>
        </w:rPr>
        <w:t>28 nghìn t</w:t>
      </w:r>
      <w:r w:rsidRPr="00D43AAD">
        <w:rPr>
          <w:rFonts w:cs="Times New Roman"/>
          <w:szCs w:val="28"/>
          <w:lang w:val="nl-NL"/>
        </w:rPr>
        <w:t xml:space="preserve">àu cá có </w:t>
      </w:r>
      <w:r w:rsidR="00217734">
        <w:rPr>
          <w:rFonts w:cs="Times New Roman"/>
          <w:szCs w:val="28"/>
          <w:lang w:val="nl-NL"/>
        </w:rPr>
        <w:t>chiều dài hơn 25m</w:t>
      </w:r>
      <w:r w:rsidRPr="00D43AAD">
        <w:rPr>
          <w:rFonts w:cs="Times New Roman"/>
          <w:szCs w:val="28"/>
          <w:lang w:val="nl-NL"/>
        </w:rPr>
        <w:t>. Chất lượng nguyên liệu thủy sản tiếp tục được nâng lên thông qua áp dụng quy trình nuôi tiên tiến của thế giới (ASC, BAP, GlobalGAP,...) cùng với tăng cường chế biến sản phẩm giá trị gia tăng đã góp phần đưa sản phẩm thủy sản xuất khẩu đến nhiều thị trường hơn, tốc độ tăng giá trị kim ngạch nhanh hơn sản lượng (7,4%/năm so với 5 %/năm).</w:t>
      </w:r>
    </w:p>
    <w:p w:rsidR="00217734" w:rsidRDefault="00217734" w:rsidP="00217734">
      <w:pPr>
        <w:spacing w:after="120" w:line="276" w:lineRule="auto"/>
        <w:ind w:left="0" w:firstLine="709"/>
        <w:jc w:val="both"/>
        <w:rPr>
          <w:rFonts w:cs="Times New Roman"/>
          <w:szCs w:val="28"/>
          <w:lang w:val="nl-NL"/>
        </w:rPr>
      </w:pPr>
    </w:p>
    <w:p w:rsidR="0066624F" w:rsidRPr="00D43AAD" w:rsidRDefault="0066624F" w:rsidP="001D4809">
      <w:pPr>
        <w:spacing w:after="120"/>
        <w:jc w:val="center"/>
        <w:rPr>
          <w:rFonts w:cs="Times New Roman"/>
          <w:spacing w:val="-6"/>
          <w:szCs w:val="28"/>
        </w:rPr>
      </w:pPr>
      <w:r w:rsidRPr="00D43AAD">
        <w:rPr>
          <w:rFonts w:cs="Times New Roman"/>
          <w:szCs w:val="28"/>
          <w:lang w:val="nl-NL"/>
        </w:rPr>
        <w:lastRenderedPageBreak/>
        <w:t xml:space="preserve">Bảng. </w:t>
      </w:r>
      <w:r w:rsidRPr="00D43AAD">
        <w:rPr>
          <w:rFonts w:cs="Times New Roman"/>
          <w:b/>
          <w:szCs w:val="28"/>
          <w:lang w:val="nl-NL"/>
        </w:rPr>
        <w:t>K</w:t>
      </w:r>
      <w:r w:rsidRPr="00D43AAD">
        <w:rPr>
          <w:rFonts w:cs="Times New Roman"/>
          <w:b/>
          <w:spacing w:val="-6"/>
          <w:szCs w:val="28"/>
        </w:rPr>
        <w:t xml:space="preserve">ết quả sản xuất thủy sản so với chỉ tiêu </w:t>
      </w:r>
      <w:r w:rsidR="001D4809" w:rsidRPr="00D43AAD">
        <w:rPr>
          <w:rFonts w:cs="Times New Roman"/>
          <w:b/>
          <w:spacing w:val="-6"/>
          <w:szCs w:val="28"/>
        </w:rPr>
        <w:t>đề ra</w:t>
      </w:r>
    </w:p>
    <w:tbl>
      <w:tblPr>
        <w:tblStyle w:val="TableGrid"/>
        <w:tblW w:w="9180" w:type="dxa"/>
        <w:tblInd w:w="108" w:type="dxa"/>
        <w:tblLook w:val="04A0"/>
      </w:tblPr>
      <w:tblGrid>
        <w:gridCol w:w="4077"/>
        <w:gridCol w:w="1985"/>
        <w:gridCol w:w="1559"/>
        <w:gridCol w:w="1559"/>
      </w:tblGrid>
      <w:tr w:rsidR="0066624F" w:rsidRPr="00D43AAD" w:rsidTr="0066624F">
        <w:trPr>
          <w:tblHeader/>
        </w:trPr>
        <w:tc>
          <w:tcPr>
            <w:tcW w:w="4077" w:type="dxa"/>
            <w:vAlign w:val="center"/>
          </w:tcPr>
          <w:p w:rsidR="0066624F" w:rsidRPr="00D43AAD" w:rsidRDefault="0066624F" w:rsidP="00F617A1">
            <w:pPr>
              <w:spacing w:after="120"/>
              <w:rPr>
                <w:b/>
                <w:sz w:val="24"/>
                <w:szCs w:val="24"/>
                <w:lang w:val="en-US"/>
              </w:rPr>
            </w:pPr>
            <w:r w:rsidRPr="00D43AAD">
              <w:rPr>
                <w:b/>
                <w:sz w:val="24"/>
                <w:szCs w:val="24"/>
                <w:lang w:val="en-US"/>
              </w:rPr>
              <w:t>Nội dung</w:t>
            </w:r>
          </w:p>
        </w:tc>
        <w:tc>
          <w:tcPr>
            <w:tcW w:w="1985" w:type="dxa"/>
            <w:vAlign w:val="center"/>
          </w:tcPr>
          <w:p w:rsidR="0066624F" w:rsidRPr="00D43AAD" w:rsidRDefault="0066624F" w:rsidP="00F617A1">
            <w:pPr>
              <w:spacing w:after="120"/>
              <w:ind w:left="34"/>
              <w:rPr>
                <w:b/>
                <w:sz w:val="24"/>
                <w:szCs w:val="24"/>
                <w:lang w:val="en-US"/>
              </w:rPr>
            </w:pPr>
            <w:r w:rsidRPr="00D43AAD">
              <w:rPr>
                <w:b/>
                <w:sz w:val="24"/>
                <w:szCs w:val="24"/>
                <w:lang w:val="en-US"/>
              </w:rPr>
              <w:t>Chỉ tiêu đến 2020</w:t>
            </w:r>
          </w:p>
        </w:tc>
        <w:tc>
          <w:tcPr>
            <w:tcW w:w="1559" w:type="dxa"/>
            <w:vAlign w:val="center"/>
          </w:tcPr>
          <w:p w:rsidR="0066624F" w:rsidRPr="00D43AAD" w:rsidRDefault="0066624F" w:rsidP="00F617A1">
            <w:pPr>
              <w:spacing w:after="120"/>
              <w:ind w:left="0"/>
              <w:rPr>
                <w:b/>
                <w:sz w:val="24"/>
                <w:szCs w:val="24"/>
                <w:lang w:val="en-US"/>
              </w:rPr>
            </w:pPr>
            <w:r w:rsidRPr="00D43AAD">
              <w:rPr>
                <w:b/>
                <w:sz w:val="24"/>
                <w:szCs w:val="24"/>
                <w:lang w:val="en-US"/>
              </w:rPr>
              <w:t>Thực hiện năm 2017</w:t>
            </w:r>
          </w:p>
        </w:tc>
        <w:tc>
          <w:tcPr>
            <w:tcW w:w="1559" w:type="dxa"/>
            <w:vAlign w:val="center"/>
          </w:tcPr>
          <w:p w:rsidR="0066624F" w:rsidRPr="00D43AAD" w:rsidRDefault="0066624F" w:rsidP="00F617A1">
            <w:pPr>
              <w:spacing w:after="120"/>
              <w:ind w:left="0"/>
              <w:rPr>
                <w:b/>
                <w:sz w:val="24"/>
                <w:szCs w:val="24"/>
                <w:lang w:val="en-US"/>
              </w:rPr>
            </w:pPr>
            <w:r w:rsidRPr="00D43AAD">
              <w:rPr>
                <w:b/>
                <w:sz w:val="24"/>
                <w:szCs w:val="24"/>
                <w:lang w:val="en-US"/>
              </w:rPr>
              <w:t>Dự kiến 2018</w:t>
            </w:r>
          </w:p>
        </w:tc>
      </w:tr>
      <w:tr w:rsidR="0066624F" w:rsidRPr="00D43AAD" w:rsidTr="0066624F">
        <w:tc>
          <w:tcPr>
            <w:tcW w:w="9180" w:type="dxa"/>
            <w:gridSpan w:val="4"/>
            <w:vAlign w:val="center"/>
          </w:tcPr>
          <w:p w:rsidR="0066624F" w:rsidRPr="00D43AAD" w:rsidRDefault="0066624F" w:rsidP="00F617A1">
            <w:pPr>
              <w:jc w:val="left"/>
              <w:rPr>
                <w:b/>
                <w:sz w:val="24"/>
                <w:szCs w:val="24"/>
                <w:lang w:val="en-US"/>
              </w:rPr>
            </w:pPr>
            <w:r w:rsidRPr="00D43AAD">
              <w:rPr>
                <w:b/>
                <w:sz w:val="24"/>
                <w:szCs w:val="24"/>
                <w:lang w:val="en-US"/>
              </w:rPr>
              <w:t>Chiến lược phát triển thủy sản</w:t>
            </w:r>
          </w:p>
        </w:tc>
      </w:tr>
      <w:tr w:rsidR="0066624F" w:rsidRPr="00D43AAD" w:rsidTr="0066624F">
        <w:tc>
          <w:tcPr>
            <w:tcW w:w="4077" w:type="dxa"/>
            <w:vAlign w:val="center"/>
          </w:tcPr>
          <w:p w:rsidR="0066624F" w:rsidRPr="00D43AAD" w:rsidRDefault="0066624F" w:rsidP="0066624F">
            <w:pPr>
              <w:pStyle w:val="ListParagraph"/>
              <w:numPr>
                <w:ilvl w:val="0"/>
                <w:numId w:val="4"/>
              </w:numPr>
              <w:tabs>
                <w:tab w:val="left" w:pos="284"/>
              </w:tabs>
              <w:ind w:left="993" w:hanging="993"/>
              <w:jc w:val="left"/>
              <w:rPr>
                <w:b/>
                <w:sz w:val="24"/>
                <w:szCs w:val="24"/>
                <w:lang w:val="en-US"/>
              </w:rPr>
            </w:pPr>
            <w:r w:rsidRPr="00D43AAD">
              <w:rPr>
                <w:sz w:val="24"/>
                <w:szCs w:val="24"/>
                <w:lang w:val="en-US"/>
              </w:rPr>
              <w:t>Tỷ trọng GDP thủy sản/GDP NLTS</w:t>
            </w:r>
          </w:p>
        </w:tc>
        <w:tc>
          <w:tcPr>
            <w:tcW w:w="1985" w:type="dxa"/>
            <w:vAlign w:val="center"/>
          </w:tcPr>
          <w:p w:rsidR="0066624F" w:rsidRPr="00D43AAD" w:rsidRDefault="0066624F" w:rsidP="00F617A1">
            <w:pPr>
              <w:ind w:left="34"/>
              <w:rPr>
                <w:b/>
                <w:sz w:val="24"/>
                <w:szCs w:val="24"/>
                <w:lang w:val="en-US"/>
              </w:rPr>
            </w:pPr>
            <w:r w:rsidRPr="00D43AAD">
              <w:rPr>
                <w:sz w:val="24"/>
                <w:szCs w:val="24"/>
                <w:lang w:val="en-US"/>
              </w:rPr>
              <w:t>30-35%</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22,2%</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22,2%</w:t>
            </w:r>
          </w:p>
        </w:tc>
      </w:tr>
      <w:tr w:rsidR="0066624F" w:rsidRPr="00D43AAD" w:rsidTr="0066624F">
        <w:tc>
          <w:tcPr>
            <w:tcW w:w="4077" w:type="dxa"/>
            <w:vAlign w:val="center"/>
          </w:tcPr>
          <w:p w:rsidR="0066624F" w:rsidRPr="00D43AAD" w:rsidRDefault="0066624F" w:rsidP="0066624F">
            <w:pPr>
              <w:pStyle w:val="ListParagraph"/>
              <w:numPr>
                <w:ilvl w:val="0"/>
                <w:numId w:val="4"/>
              </w:numPr>
              <w:tabs>
                <w:tab w:val="left" w:pos="284"/>
              </w:tabs>
              <w:ind w:left="993" w:hanging="993"/>
              <w:jc w:val="left"/>
              <w:rPr>
                <w:sz w:val="24"/>
                <w:szCs w:val="24"/>
                <w:lang w:val="en-US"/>
              </w:rPr>
            </w:pPr>
            <w:r w:rsidRPr="00D43AAD">
              <w:rPr>
                <w:sz w:val="24"/>
                <w:szCs w:val="24"/>
                <w:lang w:val="en-US"/>
              </w:rPr>
              <w:t>Tổng sản lượng thủy sản</w:t>
            </w:r>
          </w:p>
        </w:tc>
        <w:tc>
          <w:tcPr>
            <w:tcW w:w="1985" w:type="dxa"/>
            <w:vAlign w:val="center"/>
          </w:tcPr>
          <w:p w:rsidR="0066624F" w:rsidRPr="00D43AAD" w:rsidRDefault="0066624F" w:rsidP="00F617A1">
            <w:pPr>
              <w:ind w:left="34"/>
              <w:rPr>
                <w:sz w:val="24"/>
                <w:szCs w:val="24"/>
                <w:lang w:val="en-US"/>
              </w:rPr>
            </w:pPr>
            <w:r w:rsidRPr="00D43AAD">
              <w:rPr>
                <w:sz w:val="24"/>
                <w:szCs w:val="24"/>
                <w:lang w:val="en-US"/>
              </w:rPr>
              <w:t>6,5-7 triệu tấn</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 xml:space="preserve">7,1 </w:t>
            </w:r>
            <w:r w:rsidRPr="00D43AAD">
              <w:rPr>
                <w:sz w:val="24"/>
                <w:szCs w:val="24"/>
                <w:lang w:val="en-US"/>
              </w:rPr>
              <w:t>triệu tấn</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 xml:space="preserve">7,5 </w:t>
            </w:r>
            <w:r w:rsidRPr="00D43AAD">
              <w:rPr>
                <w:sz w:val="24"/>
                <w:szCs w:val="24"/>
                <w:lang w:val="en-US"/>
              </w:rPr>
              <w:t>triệu tấn</w:t>
            </w:r>
          </w:p>
        </w:tc>
      </w:tr>
      <w:tr w:rsidR="0066624F" w:rsidRPr="00D43AAD" w:rsidTr="0066624F">
        <w:tc>
          <w:tcPr>
            <w:tcW w:w="4077" w:type="dxa"/>
            <w:vAlign w:val="center"/>
          </w:tcPr>
          <w:p w:rsidR="0066624F" w:rsidRPr="00D43AAD" w:rsidRDefault="0066624F" w:rsidP="0066624F">
            <w:pPr>
              <w:pStyle w:val="ListParagraph"/>
              <w:numPr>
                <w:ilvl w:val="0"/>
                <w:numId w:val="4"/>
              </w:numPr>
              <w:tabs>
                <w:tab w:val="left" w:pos="284"/>
              </w:tabs>
              <w:ind w:left="993" w:hanging="993"/>
              <w:jc w:val="left"/>
              <w:rPr>
                <w:sz w:val="24"/>
                <w:szCs w:val="24"/>
                <w:lang w:val="en-US"/>
              </w:rPr>
            </w:pPr>
            <w:r w:rsidRPr="00D43AAD">
              <w:rPr>
                <w:sz w:val="24"/>
                <w:szCs w:val="24"/>
                <w:lang w:val="en-US"/>
              </w:rPr>
              <w:t>Kim ngạch xuất khẩu thủy sản</w:t>
            </w:r>
          </w:p>
        </w:tc>
        <w:tc>
          <w:tcPr>
            <w:tcW w:w="1985" w:type="dxa"/>
            <w:vAlign w:val="center"/>
          </w:tcPr>
          <w:p w:rsidR="0066624F" w:rsidRPr="00D43AAD" w:rsidRDefault="0066624F" w:rsidP="00F617A1">
            <w:pPr>
              <w:ind w:left="34"/>
              <w:rPr>
                <w:sz w:val="24"/>
                <w:szCs w:val="24"/>
                <w:lang w:val="en-US"/>
              </w:rPr>
            </w:pPr>
            <w:r w:rsidRPr="00D43AAD">
              <w:rPr>
                <w:sz w:val="24"/>
                <w:szCs w:val="24"/>
                <w:lang w:val="en-US"/>
              </w:rPr>
              <w:t>8-9 tỷ USD</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 xml:space="preserve">8,3 </w:t>
            </w:r>
            <w:r w:rsidRPr="00D43AAD">
              <w:rPr>
                <w:sz w:val="24"/>
                <w:szCs w:val="24"/>
                <w:lang w:val="en-US"/>
              </w:rPr>
              <w:t>tỷ USD</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 xml:space="preserve">9,8 </w:t>
            </w:r>
            <w:r w:rsidRPr="00D43AAD">
              <w:rPr>
                <w:sz w:val="24"/>
                <w:szCs w:val="24"/>
                <w:lang w:val="en-US"/>
              </w:rPr>
              <w:t>tỷ USD</w:t>
            </w:r>
          </w:p>
        </w:tc>
      </w:tr>
      <w:tr w:rsidR="0066624F" w:rsidRPr="00D43AAD" w:rsidTr="0066624F">
        <w:tc>
          <w:tcPr>
            <w:tcW w:w="9180" w:type="dxa"/>
            <w:gridSpan w:val="4"/>
            <w:vAlign w:val="center"/>
          </w:tcPr>
          <w:p w:rsidR="0066624F" w:rsidRPr="00D43AAD" w:rsidRDefault="0066624F" w:rsidP="00F617A1">
            <w:pPr>
              <w:ind w:left="34"/>
              <w:jc w:val="left"/>
              <w:rPr>
                <w:i/>
                <w:sz w:val="24"/>
                <w:szCs w:val="24"/>
                <w:highlight w:val="yellow"/>
                <w:lang w:val="en-US"/>
              </w:rPr>
            </w:pPr>
            <w:r w:rsidRPr="00D43AAD">
              <w:rPr>
                <w:b/>
                <w:sz w:val="24"/>
                <w:szCs w:val="24"/>
                <w:lang w:val="en-US"/>
              </w:rPr>
              <w:t>QH tổng thể, Đề án tổ chức lại khai thác, Đề án Tái cơ cấu thủy sản</w:t>
            </w:r>
          </w:p>
        </w:tc>
      </w:tr>
      <w:tr w:rsidR="0066624F" w:rsidRPr="00D43AAD" w:rsidTr="0066624F">
        <w:tc>
          <w:tcPr>
            <w:tcW w:w="4077" w:type="dxa"/>
            <w:vAlign w:val="center"/>
          </w:tcPr>
          <w:p w:rsidR="0066624F" w:rsidRPr="00D43AAD" w:rsidRDefault="0066624F" w:rsidP="0066624F">
            <w:pPr>
              <w:pStyle w:val="ListParagraph"/>
              <w:numPr>
                <w:ilvl w:val="0"/>
                <w:numId w:val="5"/>
              </w:numPr>
              <w:tabs>
                <w:tab w:val="left" w:pos="284"/>
              </w:tabs>
              <w:ind w:hanging="717"/>
              <w:jc w:val="left"/>
              <w:rPr>
                <w:sz w:val="24"/>
                <w:szCs w:val="24"/>
                <w:lang w:val="en-US"/>
              </w:rPr>
            </w:pPr>
            <w:r w:rsidRPr="00D43AAD">
              <w:rPr>
                <w:sz w:val="24"/>
                <w:szCs w:val="24"/>
                <w:lang w:val="en-US"/>
              </w:rPr>
              <w:t>Sản lượng khai thác</w:t>
            </w:r>
          </w:p>
        </w:tc>
        <w:tc>
          <w:tcPr>
            <w:tcW w:w="1985" w:type="dxa"/>
            <w:vAlign w:val="center"/>
          </w:tcPr>
          <w:p w:rsidR="0066624F" w:rsidRPr="00D43AAD" w:rsidRDefault="0066624F" w:rsidP="00F617A1">
            <w:pPr>
              <w:ind w:left="34"/>
              <w:rPr>
                <w:sz w:val="24"/>
                <w:szCs w:val="24"/>
                <w:lang w:val="en-US"/>
              </w:rPr>
            </w:pPr>
            <w:r w:rsidRPr="00D43AAD">
              <w:rPr>
                <w:sz w:val="24"/>
                <w:szCs w:val="24"/>
                <w:lang w:val="en-US"/>
              </w:rPr>
              <w:t>2,4-2,6 triệu tấn</w:t>
            </w:r>
          </w:p>
        </w:tc>
        <w:tc>
          <w:tcPr>
            <w:tcW w:w="1559" w:type="dxa"/>
            <w:vAlign w:val="center"/>
          </w:tcPr>
          <w:p w:rsidR="0066624F" w:rsidRPr="00D43AAD" w:rsidRDefault="0066624F" w:rsidP="00F617A1">
            <w:pPr>
              <w:ind w:left="34"/>
              <w:rPr>
                <w:b/>
                <w:sz w:val="24"/>
                <w:szCs w:val="24"/>
                <w:highlight w:val="yellow"/>
                <w:lang w:val="en-US"/>
              </w:rPr>
            </w:pPr>
            <w:r w:rsidRPr="00D43AAD">
              <w:rPr>
                <w:b/>
                <w:sz w:val="24"/>
                <w:szCs w:val="24"/>
                <w:lang w:val="en-US"/>
              </w:rPr>
              <w:t>3,3</w:t>
            </w:r>
          </w:p>
        </w:tc>
        <w:tc>
          <w:tcPr>
            <w:tcW w:w="1559" w:type="dxa"/>
            <w:shd w:val="clear" w:color="auto" w:fill="auto"/>
            <w:vAlign w:val="center"/>
          </w:tcPr>
          <w:p w:rsidR="0066624F" w:rsidRPr="00D43AAD" w:rsidRDefault="0066624F" w:rsidP="00F617A1">
            <w:pPr>
              <w:ind w:left="34"/>
              <w:rPr>
                <w:b/>
                <w:sz w:val="24"/>
                <w:szCs w:val="24"/>
                <w:highlight w:val="yellow"/>
                <w:lang w:val="en-US"/>
              </w:rPr>
            </w:pPr>
            <w:r w:rsidRPr="00D43AAD">
              <w:rPr>
                <w:b/>
                <w:sz w:val="24"/>
                <w:szCs w:val="24"/>
                <w:lang w:val="en-US"/>
              </w:rPr>
              <w:t>3,5</w:t>
            </w:r>
          </w:p>
        </w:tc>
      </w:tr>
      <w:tr w:rsidR="0066624F" w:rsidRPr="00D43AAD" w:rsidTr="0066624F">
        <w:tc>
          <w:tcPr>
            <w:tcW w:w="4077" w:type="dxa"/>
            <w:vAlign w:val="center"/>
          </w:tcPr>
          <w:p w:rsidR="0066624F" w:rsidRPr="00D43AAD" w:rsidRDefault="0066624F" w:rsidP="0066624F">
            <w:pPr>
              <w:pStyle w:val="ListParagraph"/>
              <w:numPr>
                <w:ilvl w:val="0"/>
                <w:numId w:val="5"/>
              </w:numPr>
              <w:tabs>
                <w:tab w:val="left" w:pos="284"/>
              </w:tabs>
              <w:ind w:hanging="717"/>
              <w:jc w:val="left"/>
              <w:rPr>
                <w:sz w:val="24"/>
                <w:szCs w:val="24"/>
              </w:rPr>
            </w:pPr>
            <w:r w:rsidRPr="00D43AAD">
              <w:rPr>
                <w:sz w:val="24"/>
                <w:szCs w:val="24"/>
                <w:lang w:val="en-US"/>
              </w:rPr>
              <w:t>Sản lượng nuôi trồng</w:t>
            </w:r>
          </w:p>
        </w:tc>
        <w:tc>
          <w:tcPr>
            <w:tcW w:w="1985" w:type="dxa"/>
            <w:vAlign w:val="center"/>
          </w:tcPr>
          <w:p w:rsidR="0066624F" w:rsidRPr="00D43AAD" w:rsidRDefault="0066624F" w:rsidP="00F617A1">
            <w:pPr>
              <w:ind w:left="34"/>
              <w:rPr>
                <w:sz w:val="24"/>
                <w:szCs w:val="24"/>
                <w:lang w:val="en-US"/>
              </w:rPr>
            </w:pPr>
            <w:r w:rsidRPr="00D43AAD">
              <w:rPr>
                <w:sz w:val="24"/>
                <w:szCs w:val="24"/>
                <w:lang w:val="en-US"/>
              </w:rPr>
              <w:t>4,1-4,4 triệu tấn</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3,8</w:t>
            </w:r>
          </w:p>
        </w:tc>
        <w:tc>
          <w:tcPr>
            <w:tcW w:w="1559" w:type="dxa"/>
            <w:shd w:val="clear" w:color="auto" w:fill="auto"/>
            <w:vAlign w:val="center"/>
          </w:tcPr>
          <w:p w:rsidR="0066624F" w:rsidRPr="00D43AAD" w:rsidRDefault="0066624F" w:rsidP="00F617A1">
            <w:pPr>
              <w:ind w:left="34"/>
              <w:rPr>
                <w:b/>
                <w:sz w:val="24"/>
                <w:szCs w:val="24"/>
                <w:lang w:val="en-US"/>
              </w:rPr>
            </w:pPr>
            <w:r w:rsidRPr="00D43AAD">
              <w:rPr>
                <w:b/>
                <w:sz w:val="24"/>
                <w:szCs w:val="24"/>
                <w:lang w:val="en-US"/>
              </w:rPr>
              <w:t>4,0</w:t>
            </w:r>
          </w:p>
        </w:tc>
      </w:tr>
      <w:tr w:rsidR="0066624F" w:rsidRPr="00D43AAD" w:rsidTr="0066624F">
        <w:tc>
          <w:tcPr>
            <w:tcW w:w="4077" w:type="dxa"/>
            <w:vAlign w:val="center"/>
          </w:tcPr>
          <w:p w:rsidR="0066624F" w:rsidRPr="00D43AAD" w:rsidRDefault="0066624F" w:rsidP="0066624F">
            <w:pPr>
              <w:pStyle w:val="ListParagraph"/>
              <w:numPr>
                <w:ilvl w:val="0"/>
                <w:numId w:val="5"/>
              </w:numPr>
              <w:tabs>
                <w:tab w:val="left" w:pos="284"/>
              </w:tabs>
              <w:ind w:hanging="717"/>
              <w:jc w:val="left"/>
              <w:rPr>
                <w:sz w:val="24"/>
                <w:szCs w:val="24"/>
                <w:lang w:val="en-US"/>
              </w:rPr>
            </w:pPr>
            <w:r w:rsidRPr="00D43AAD">
              <w:rPr>
                <w:sz w:val="24"/>
                <w:szCs w:val="24"/>
                <w:lang w:val="en-US"/>
              </w:rPr>
              <w:t xml:space="preserve">Số lượng tàu cá </w:t>
            </w:r>
          </w:p>
        </w:tc>
        <w:tc>
          <w:tcPr>
            <w:tcW w:w="1985" w:type="dxa"/>
            <w:vAlign w:val="center"/>
          </w:tcPr>
          <w:p w:rsidR="0066624F" w:rsidRPr="00D43AAD" w:rsidRDefault="0066624F" w:rsidP="00F617A1">
            <w:pPr>
              <w:ind w:left="34"/>
              <w:rPr>
                <w:sz w:val="24"/>
                <w:szCs w:val="24"/>
                <w:lang w:val="en-US"/>
              </w:rPr>
            </w:pPr>
            <w:r w:rsidRPr="00D43AAD">
              <w:rPr>
                <w:sz w:val="24"/>
                <w:szCs w:val="24"/>
                <w:lang w:val="en-US"/>
              </w:rPr>
              <w:t>&lt; 110 nghìn tàu</w:t>
            </w:r>
          </w:p>
        </w:tc>
        <w:tc>
          <w:tcPr>
            <w:tcW w:w="1559" w:type="dxa"/>
            <w:vAlign w:val="center"/>
          </w:tcPr>
          <w:p w:rsidR="0066624F" w:rsidRPr="00D43AAD" w:rsidRDefault="0066624F" w:rsidP="00F617A1">
            <w:pPr>
              <w:ind w:left="34"/>
              <w:rPr>
                <w:b/>
                <w:sz w:val="24"/>
                <w:szCs w:val="24"/>
                <w:highlight w:val="yellow"/>
                <w:lang w:val="en-US"/>
              </w:rPr>
            </w:pPr>
            <w:r w:rsidRPr="00D43AAD">
              <w:rPr>
                <w:b/>
                <w:sz w:val="24"/>
                <w:szCs w:val="24"/>
                <w:lang w:val="en-US"/>
              </w:rPr>
              <w:t>109,6</w:t>
            </w:r>
          </w:p>
        </w:tc>
        <w:tc>
          <w:tcPr>
            <w:tcW w:w="1559" w:type="dxa"/>
            <w:vAlign w:val="center"/>
          </w:tcPr>
          <w:p w:rsidR="0066624F" w:rsidRPr="00D43AAD" w:rsidRDefault="0066624F" w:rsidP="00F617A1">
            <w:pPr>
              <w:ind w:left="34"/>
              <w:rPr>
                <w:b/>
                <w:sz w:val="24"/>
                <w:szCs w:val="24"/>
                <w:highlight w:val="yellow"/>
                <w:lang w:val="en-US"/>
              </w:rPr>
            </w:pPr>
            <w:r w:rsidRPr="00D43AAD">
              <w:rPr>
                <w:b/>
                <w:sz w:val="24"/>
                <w:szCs w:val="24"/>
                <w:lang w:val="en-US"/>
              </w:rPr>
              <w:t>109,6</w:t>
            </w:r>
          </w:p>
        </w:tc>
      </w:tr>
      <w:tr w:rsidR="0066624F" w:rsidRPr="00D43AAD" w:rsidTr="0066624F">
        <w:tc>
          <w:tcPr>
            <w:tcW w:w="4077" w:type="dxa"/>
            <w:vAlign w:val="center"/>
          </w:tcPr>
          <w:p w:rsidR="0066624F" w:rsidRPr="00D43AAD" w:rsidRDefault="0066624F" w:rsidP="0066624F">
            <w:pPr>
              <w:pStyle w:val="ListParagraph"/>
              <w:numPr>
                <w:ilvl w:val="0"/>
                <w:numId w:val="5"/>
              </w:numPr>
              <w:tabs>
                <w:tab w:val="left" w:pos="284"/>
              </w:tabs>
              <w:ind w:hanging="717"/>
              <w:jc w:val="left"/>
              <w:rPr>
                <w:sz w:val="24"/>
                <w:szCs w:val="24"/>
                <w:lang w:val="en-US"/>
              </w:rPr>
            </w:pPr>
            <w:r w:rsidRPr="00D43AAD">
              <w:rPr>
                <w:sz w:val="24"/>
                <w:szCs w:val="24"/>
                <w:lang w:val="en-US"/>
              </w:rPr>
              <w:t>Sản lượng tôm</w:t>
            </w:r>
          </w:p>
        </w:tc>
        <w:tc>
          <w:tcPr>
            <w:tcW w:w="1985" w:type="dxa"/>
            <w:vAlign w:val="center"/>
          </w:tcPr>
          <w:p w:rsidR="0066624F" w:rsidRPr="00D43AAD" w:rsidRDefault="0066624F" w:rsidP="00F617A1">
            <w:pPr>
              <w:ind w:left="34"/>
              <w:rPr>
                <w:sz w:val="24"/>
                <w:szCs w:val="24"/>
                <w:lang w:val="en-US"/>
              </w:rPr>
            </w:pPr>
            <w:r w:rsidRPr="00D43AAD">
              <w:rPr>
                <w:sz w:val="24"/>
                <w:szCs w:val="24"/>
                <w:lang w:val="en-US"/>
              </w:rPr>
              <w:t>700 nghìn tấn</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680</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680</w:t>
            </w:r>
          </w:p>
        </w:tc>
      </w:tr>
      <w:tr w:rsidR="0066624F" w:rsidRPr="00D43AAD" w:rsidTr="0066624F">
        <w:tc>
          <w:tcPr>
            <w:tcW w:w="4077" w:type="dxa"/>
            <w:vAlign w:val="center"/>
          </w:tcPr>
          <w:p w:rsidR="0066624F" w:rsidRPr="00D43AAD" w:rsidRDefault="0066624F" w:rsidP="0066624F">
            <w:pPr>
              <w:pStyle w:val="ListParagraph"/>
              <w:numPr>
                <w:ilvl w:val="0"/>
                <w:numId w:val="5"/>
              </w:numPr>
              <w:tabs>
                <w:tab w:val="left" w:pos="284"/>
              </w:tabs>
              <w:ind w:left="284" w:hanging="284"/>
              <w:jc w:val="left"/>
              <w:rPr>
                <w:sz w:val="24"/>
                <w:szCs w:val="24"/>
                <w:lang w:val="en-US"/>
              </w:rPr>
            </w:pPr>
            <w:r w:rsidRPr="00D43AAD">
              <w:rPr>
                <w:sz w:val="24"/>
                <w:szCs w:val="24"/>
                <w:lang w:val="en-US"/>
              </w:rPr>
              <w:t>Giống thủy sản đối tượng chủ lực   (cá tra, tôm)</w:t>
            </w:r>
          </w:p>
        </w:tc>
        <w:tc>
          <w:tcPr>
            <w:tcW w:w="1985" w:type="dxa"/>
            <w:vAlign w:val="center"/>
          </w:tcPr>
          <w:p w:rsidR="0066624F" w:rsidRPr="00D43AAD" w:rsidRDefault="0066624F" w:rsidP="00F617A1">
            <w:pPr>
              <w:ind w:left="34"/>
              <w:rPr>
                <w:sz w:val="24"/>
                <w:szCs w:val="24"/>
                <w:lang w:val="en-US"/>
              </w:rPr>
            </w:pPr>
            <w:r w:rsidRPr="00D43AAD">
              <w:rPr>
                <w:sz w:val="24"/>
                <w:szCs w:val="24"/>
                <w:lang w:val="en-US"/>
              </w:rPr>
              <w:t>100%</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100%</w:t>
            </w:r>
          </w:p>
        </w:tc>
        <w:tc>
          <w:tcPr>
            <w:tcW w:w="1559" w:type="dxa"/>
            <w:vAlign w:val="center"/>
          </w:tcPr>
          <w:p w:rsidR="0066624F" w:rsidRPr="00D43AAD" w:rsidRDefault="0066624F" w:rsidP="00F617A1">
            <w:pPr>
              <w:ind w:left="34"/>
              <w:rPr>
                <w:b/>
                <w:sz w:val="24"/>
                <w:szCs w:val="24"/>
                <w:lang w:val="en-US"/>
              </w:rPr>
            </w:pPr>
            <w:r w:rsidRPr="00D43AAD">
              <w:rPr>
                <w:b/>
                <w:sz w:val="24"/>
                <w:szCs w:val="24"/>
                <w:lang w:val="en-US"/>
              </w:rPr>
              <w:t>100%</w:t>
            </w:r>
          </w:p>
        </w:tc>
      </w:tr>
    </w:tbl>
    <w:p w:rsidR="0066624F" w:rsidRPr="00D43AAD" w:rsidRDefault="000404AF" w:rsidP="00394877">
      <w:pPr>
        <w:pStyle w:val="BodyTextIndent"/>
        <w:widowControl w:val="0"/>
        <w:spacing w:before="240" w:line="276" w:lineRule="auto"/>
        <w:ind w:left="0" w:firstLine="720"/>
        <w:jc w:val="both"/>
        <w:rPr>
          <w:rFonts w:cs="Times New Roman"/>
          <w:b/>
          <w:szCs w:val="28"/>
        </w:rPr>
      </w:pPr>
      <w:r w:rsidRPr="00D43AAD">
        <w:rPr>
          <w:rFonts w:cs="Times New Roman"/>
          <w:b/>
          <w:szCs w:val="28"/>
        </w:rPr>
        <w:t xml:space="preserve">2. </w:t>
      </w:r>
      <w:r w:rsidR="00A547F6" w:rsidRPr="00D43AAD">
        <w:rPr>
          <w:rFonts w:cs="Times New Roman"/>
          <w:b/>
          <w:szCs w:val="28"/>
        </w:rPr>
        <w:t>Tình hình đầu tư vào hạ tầng thủy sản</w:t>
      </w:r>
    </w:p>
    <w:p w:rsidR="00A547F6" w:rsidRPr="00D43AAD" w:rsidRDefault="00A547F6" w:rsidP="00394877">
      <w:pPr>
        <w:pStyle w:val="BodyTextIndent"/>
        <w:widowControl w:val="0"/>
        <w:spacing w:line="276" w:lineRule="auto"/>
        <w:ind w:left="0" w:firstLine="720"/>
        <w:jc w:val="both"/>
        <w:rPr>
          <w:rFonts w:cs="Times New Roman"/>
          <w:szCs w:val="28"/>
        </w:rPr>
      </w:pPr>
      <w:r w:rsidRPr="00D43AAD">
        <w:rPr>
          <w:rFonts w:cs="Times New Roman"/>
          <w:szCs w:val="28"/>
        </w:rPr>
        <w:t xml:space="preserve">Để xây dựng được hệ thống cơ sở hạ tầng ngành thủy sản đồng bộ, đáp ứng yêu cầu sản xuất đòi hỏi nguồn vốn đầu tư rất lớn, tổng nhu cầu vốn đầu tư </w:t>
      </w:r>
      <w:r w:rsidR="00217734">
        <w:rPr>
          <w:rFonts w:cs="Times New Roman"/>
          <w:szCs w:val="28"/>
        </w:rPr>
        <w:t xml:space="preserve">giai đoạn 2016-2020 </w:t>
      </w:r>
      <w:r w:rsidRPr="00D43AAD">
        <w:rPr>
          <w:rFonts w:cs="Times New Roman"/>
          <w:szCs w:val="28"/>
        </w:rPr>
        <w:t xml:space="preserve">vào khoảng </w:t>
      </w:r>
      <w:r w:rsidRPr="00D43AAD">
        <w:rPr>
          <w:rFonts w:cs="Times New Roman"/>
          <w:b/>
          <w:szCs w:val="28"/>
        </w:rPr>
        <w:t>49.248 tỷ đồng</w:t>
      </w:r>
      <w:r w:rsidRPr="00D43AAD">
        <w:rPr>
          <w:rFonts w:cs="Times New Roman"/>
          <w:szCs w:val="28"/>
        </w:rPr>
        <w:t xml:space="preserve">. </w:t>
      </w:r>
    </w:p>
    <w:p w:rsidR="00A547F6" w:rsidRPr="00D43AAD" w:rsidRDefault="00A547F6" w:rsidP="0066624F">
      <w:pPr>
        <w:pStyle w:val="BodyTextIndent"/>
        <w:widowControl w:val="0"/>
        <w:spacing w:line="276" w:lineRule="auto"/>
        <w:ind w:left="0" w:firstLine="720"/>
        <w:jc w:val="both"/>
        <w:rPr>
          <w:sz w:val="27"/>
          <w:szCs w:val="27"/>
          <w:lang w:val="pt-BR"/>
        </w:rPr>
      </w:pPr>
      <w:r w:rsidRPr="00D43AAD">
        <w:rPr>
          <w:rFonts w:cs="Times New Roman"/>
          <w:szCs w:val="28"/>
        </w:rPr>
        <w:t xml:space="preserve">Tuy nhiên, trong giai đoạn </w:t>
      </w:r>
      <w:r w:rsidR="00217734" w:rsidRPr="00D43AAD">
        <w:rPr>
          <w:szCs w:val="28"/>
          <w:lang w:val="pt-BR"/>
        </w:rPr>
        <w:t xml:space="preserve">2016-2020 </w:t>
      </w:r>
      <w:r w:rsidRPr="00D43AAD">
        <w:rPr>
          <w:rFonts w:cs="Times New Roman"/>
          <w:szCs w:val="28"/>
        </w:rPr>
        <w:t>t</w:t>
      </w:r>
      <w:r w:rsidRPr="00D43AAD">
        <w:rPr>
          <w:szCs w:val="28"/>
          <w:lang w:val="pt-BR"/>
        </w:rPr>
        <w:t xml:space="preserve">ổng vốn ngân sách nhà nước đầu tư cho ngành thủy sản khoảng </w:t>
      </w:r>
      <w:r w:rsidRPr="00D43AAD">
        <w:rPr>
          <w:b/>
          <w:szCs w:val="28"/>
          <w:lang w:val="pt-BR"/>
        </w:rPr>
        <w:t>7.520 tỷ đồng</w:t>
      </w:r>
      <w:r w:rsidRPr="00D43AAD">
        <w:rPr>
          <w:szCs w:val="28"/>
          <w:lang w:val="pt-BR"/>
        </w:rPr>
        <w:t xml:space="preserve"> </w:t>
      </w:r>
      <w:r w:rsidRPr="00D43AAD">
        <w:rPr>
          <w:i/>
          <w:szCs w:val="28"/>
          <w:lang w:val="pt-BR"/>
        </w:rPr>
        <w:t xml:space="preserve">(bao gồm: Vốn NSTW 5.394 tỷ đồng; vốn ODA 1.585 tỷ đồng; vốn BĐ-HĐ 540 tỷ đồng), </w:t>
      </w:r>
      <w:r w:rsidRPr="00D43AAD">
        <w:rPr>
          <w:szCs w:val="28"/>
          <w:lang w:val="pt-BR"/>
        </w:rPr>
        <w:t xml:space="preserve">chỉ chiếm khoảng 9,7% tổng nguồn vốn toàn ngành nông nghiệp </w:t>
      </w:r>
      <w:r w:rsidRPr="00D43AAD">
        <w:rPr>
          <w:i/>
          <w:szCs w:val="28"/>
          <w:lang w:val="pt-BR"/>
        </w:rPr>
        <w:t>(77.470 tỷ đồng)</w:t>
      </w:r>
      <w:r w:rsidRPr="00D43AAD">
        <w:rPr>
          <w:szCs w:val="28"/>
          <w:lang w:val="pt-BR"/>
        </w:rPr>
        <w:t xml:space="preserve">, đáp ứng khoảng 15% nhu cầu theo quy hoạch </w:t>
      </w:r>
      <w:r w:rsidRPr="00D43AAD">
        <w:rPr>
          <w:i/>
          <w:szCs w:val="28"/>
          <w:lang w:val="pt-BR"/>
        </w:rPr>
        <w:t>(49.248 tỷ đồng).</w:t>
      </w:r>
      <w:r w:rsidRPr="00D43AAD">
        <w:rPr>
          <w:szCs w:val="28"/>
          <w:lang w:val="pt-BR"/>
        </w:rPr>
        <w:t xml:space="preserve"> Nguồn vốn ngân sách nhà nước, vốn tín dụng đầu tư, trái phiếu chính phủ không thể tăng do thu ngân sách khó khăn, thắt chặt đầu tư công.</w:t>
      </w:r>
    </w:p>
    <w:p w:rsidR="0066624F" w:rsidRPr="00D43AAD" w:rsidRDefault="00217734" w:rsidP="00217734">
      <w:pPr>
        <w:widowControl w:val="0"/>
        <w:spacing w:before="0" w:line="240" w:lineRule="auto"/>
        <w:ind w:left="0" w:firstLine="709"/>
        <w:rPr>
          <w:rFonts w:cs="Times New Roman"/>
          <w:b/>
          <w:sz w:val="27"/>
          <w:szCs w:val="27"/>
        </w:rPr>
      </w:pPr>
      <w:r>
        <w:rPr>
          <w:rFonts w:cs="Times New Roman"/>
          <w:b/>
          <w:sz w:val="27"/>
          <w:szCs w:val="27"/>
        </w:rPr>
        <w:t xml:space="preserve">II. </w:t>
      </w:r>
      <w:r w:rsidR="00394877" w:rsidRPr="00D43AAD">
        <w:rPr>
          <w:rFonts w:cs="Times New Roman"/>
          <w:b/>
          <w:sz w:val="27"/>
          <w:szCs w:val="27"/>
        </w:rPr>
        <w:t>QUAN ĐIỂM, MỤC TIÊU, NHU CẦU VÀ CHÍNH SÁCH THU HÚT ĐẦU TƯ VÀO CÁC TRUNG TÂM NGHỀ CÁ LỚN</w:t>
      </w:r>
    </w:p>
    <w:p w:rsidR="00394877" w:rsidRDefault="00217734" w:rsidP="00B469C3">
      <w:pPr>
        <w:widowControl w:val="0"/>
        <w:spacing w:line="240" w:lineRule="auto"/>
        <w:ind w:left="0" w:firstLine="720"/>
        <w:jc w:val="both"/>
        <w:rPr>
          <w:rFonts w:eastAsia="Times New Roman" w:cs="Times New Roman"/>
          <w:b/>
          <w:sz w:val="27"/>
          <w:szCs w:val="27"/>
        </w:rPr>
      </w:pPr>
      <w:r>
        <w:rPr>
          <w:rFonts w:eastAsia="Times New Roman" w:cs="Times New Roman"/>
          <w:b/>
          <w:sz w:val="27"/>
          <w:szCs w:val="27"/>
        </w:rPr>
        <w:t>1. Căn cứ pháp lý:</w:t>
      </w:r>
    </w:p>
    <w:p w:rsidR="00217734" w:rsidRDefault="00A81841" w:rsidP="00B469C3">
      <w:pPr>
        <w:widowControl w:val="0"/>
        <w:spacing w:line="240" w:lineRule="auto"/>
        <w:ind w:left="0" w:firstLine="720"/>
        <w:jc w:val="both"/>
        <w:rPr>
          <w:rFonts w:eastAsia="Times New Roman" w:cs="Times New Roman"/>
          <w:sz w:val="27"/>
          <w:szCs w:val="27"/>
        </w:rPr>
      </w:pPr>
      <w:r>
        <w:rPr>
          <w:rFonts w:eastAsia="Times New Roman" w:cs="Times New Roman"/>
          <w:sz w:val="27"/>
          <w:szCs w:val="27"/>
        </w:rPr>
        <w:t xml:space="preserve">- </w:t>
      </w:r>
      <w:r w:rsidR="00217734">
        <w:rPr>
          <w:rFonts w:eastAsia="Times New Roman" w:cs="Times New Roman"/>
          <w:sz w:val="27"/>
          <w:szCs w:val="27"/>
        </w:rPr>
        <w:t xml:space="preserve">Quyết định số 1445/QĐ-TTg </w:t>
      </w:r>
      <w:r>
        <w:rPr>
          <w:rFonts w:eastAsia="Times New Roman" w:cs="Times New Roman"/>
          <w:sz w:val="27"/>
          <w:szCs w:val="27"/>
        </w:rPr>
        <w:t xml:space="preserve">ngày 16/8/2013 của Thủ tướng Chính phủ phê duyệt </w:t>
      </w:r>
      <w:r w:rsidRPr="00D43AAD">
        <w:rPr>
          <w:rFonts w:eastAsia="Times New Roman" w:cs="Times New Roman"/>
          <w:sz w:val="27"/>
          <w:szCs w:val="27"/>
        </w:rPr>
        <w:t>Quy hoạch tổng thể phát triển ngành thủy sản đến năm 2020, tầm nhìn 2030</w:t>
      </w:r>
      <w:r>
        <w:rPr>
          <w:rFonts w:eastAsia="Times New Roman" w:cs="Times New Roman"/>
          <w:sz w:val="27"/>
          <w:szCs w:val="27"/>
        </w:rPr>
        <w:t xml:space="preserve"> (điểm 4 mục III).</w:t>
      </w:r>
    </w:p>
    <w:p w:rsidR="00A81841" w:rsidRPr="00217734" w:rsidRDefault="00A81841" w:rsidP="00A81841">
      <w:pPr>
        <w:widowControl w:val="0"/>
        <w:spacing w:line="240" w:lineRule="auto"/>
        <w:ind w:left="0" w:firstLine="720"/>
        <w:jc w:val="both"/>
        <w:rPr>
          <w:rFonts w:eastAsia="Times New Roman" w:cs="Times New Roman"/>
          <w:sz w:val="27"/>
          <w:szCs w:val="27"/>
        </w:rPr>
      </w:pPr>
      <w:r>
        <w:rPr>
          <w:rFonts w:eastAsia="Times New Roman" w:cs="Times New Roman"/>
          <w:sz w:val="27"/>
          <w:szCs w:val="27"/>
        </w:rPr>
        <w:t>- Nghị định số 67/2014/NĐ-CP ngày 07/7/2014 của Chính phủ về một số chính sách phát triển thủy sản (khoản 6 Điều 4).</w:t>
      </w:r>
    </w:p>
    <w:p w:rsidR="00A81841" w:rsidRDefault="00A81841" w:rsidP="00B469C3">
      <w:pPr>
        <w:widowControl w:val="0"/>
        <w:spacing w:line="240" w:lineRule="auto"/>
        <w:ind w:left="0" w:firstLine="720"/>
        <w:jc w:val="both"/>
        <w:rPr>
          <w:rFonts w:eastAsia="Times New Roman" w:cs="Times New Roman"/>
          <w:b/>
          <w:sz w:val="27"/>
          <w:szCs w:val="27"/>
        </w:rPr>
      </w:pPr>
      <w:r>
        <w:rPr>
          <w:rFonts w:eastAsia="Times New Roman" w:cs="Times New Roman"/>
          <w:b/>
          <w:sz w:val="27"/>
          <w:szCs w:val="27"/>
        </w:rPr>
        <w:t>1. Quan điểm</w:t>
      </w:r>
    </w:p>
    <w:p w:rsidR="001808DB" w:rsidRPr="00D43AAD" w:rsidRDefault="001808DB" w:rsidP="00B469C3">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xml:space="preserve">Huy động mạnh mẽ, có hiệu quả mọi nguồn lực ngoài ngân sách nhà nước để đầu tư </w:t>
      </w:r>
      <w:r w:rsidR="00394877" w:rsidRPr="00D43AAD">
        <w:rPr>
          <w:rFonts w:eastAsia="Times New Roman" w:cs="Times New Roman"/>
          <w:sz w:val="27"/>
          <w:szCs w:val="27"/>
        </w:rPr>
        <w:t>các Trung tâm nghề cá lớn)</w:t>
      </w:r>
      <w:r w:rsidRPr="00D43AAD">
        <w:rPr>
          <w:rFonts w:eastAsia="Times New Roman" w:cs="Times New Roman"/>
          <w:sz w:val="27"/>
          <w:szCs w:val="27"/>
        </w:rPr>
        <w:t xml:space="preserve">, từng bước giảm gánh nặng cho ngân sách nhà </w:t>
      </w:r>
      <w:r w:rsidRPr="00D43AAD">
        <w:rPr>
          <w:rFonts w:eastAsia="Times New Roman" w:cs="Times New Roman"/>
          <w:sz w:val="27"/>
          <w:szCs w:val="27"/>
        </w:rPr>
        <w:lastRenderedPageBreak/>
        <w:t>nước</w:t>
      </w:r>
      <w:r w:rsidR="00394877" w:rsidRPr="00D43AAD">
        <w:rPr>
          <w:rFonts w:eastAsia="Times New Roman" w:cs="Times New Roman"/>
          <w:sz w:val="27"/>
          <w:szCs w:val="27"/>
        </w:rPr>
        <w:t>, tạo môi trường đầu tư bình đẳng, cạnh tranh lành mạnh và hiệu quả, đảm bảo lợi ích hài hòa của nhà nước và nhà đầu tư</w:t>
      </w:r>
      <w:r w:rsidRPr="00D43AAD">
        <w:rPr>
          <w:rFonts w:eastAsia="Times New Roman" w:cs="Times New Roman"/>
          <w:sz w:val="27"/>
          <w:szCs w:val="27"/>
        </w:rPr>
        <w:t>. Trong đó:</w:t>
      </w:r>
    </w:p>
    <w:p w:rsidR="001808DB" w:rsidRPr="00D43AAD" w:rsidRDefault="001808DB" w:rsidP="00B469C3">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xml:space="preserve">- Đẩy mạnh thực hiện các hình thức dự án PPP kể cả có sự tham gia của nhà đầu tư nước ngoài áp dụng cho </w:t>
      </w:r>
      <w:r w:rsidRPr="00A81841">
        <w:rPr>
          <w:rFonts w:eastAsia="Times New Roman" w:cs="Times New Roman"/>
          <w:sz w:val="27"/>
          <w:szCs w:val="27"/>
        </w:rPr>
        <w:t>cảng cá động lực</w:t>
      </w:r>
      <w:r w:rsidR="00A81841">
        <w:rPr>
          <w:rFonts w:eastAsia="Times New Roman" w:cs="Times New Roman"/>
          <w:sz w:val="27"/>
          <w:szCs w:val="27"/>
        </w:rPr>
        <w:t xml:space="preserve"> trong Trung tâm nghề cá lớn</w:t>
      </w:r>
      <w:r w:rsidRPr="00A81841">
        <w:rPr>
          <w:rFonts w:eastAsia="Times New Roman" w:cs="Times New Roman"/>
          <w:sz w:val="27"/>
          <w:szCs w:val="27"/>
        </w:rPr>
        <w:t>, cảng cá loại 1.</w:t>
      </w:r>
    </w:p>
    <w:p w:rsidR="001808DB" w:rsidRPr="00D43AAD" w:rsidRDefault="001808DB" w:rsidP="00394877">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Mở rộng cho khối tư nhân được sử dụng vốn ODA và vốn vay ưu đãi để đầu tư tất cả các kết</w:t>
      </w:r>
      <w:r w:rsidR="00394877" w:rsidRPr="00D43AAD">
        <w:rPr>
          <w:rFonts w:eastAsia="Times New Roman" w:cs="Times New Roman"/>
          <w:sz w:val="27"/>
          <w:szCs w:val="27"/>
        </w:rPr>
        <w:t xml:space="preserve"> câu hạ tầng thủy sản phục vụ cộ</w:t>
      </w:r>
      <w:r w:rsidRPr="00D43AAD">
        <w:rPr>
          <w:rFonts w:eastAsia="Times New Roman" w:cs="Times New Roman"/>
          <w:sz w:val="27"/>
          <w:szCs w:val="27"/>
        </w:rPr>
        <w:t>ng đồng.</w:t>
      </w:r>
    </w:p>
    <w:p w:rsidR="00394877" w:rsidRPr="00D43AAD" w:rsidRDefault="00A81841" w:rsidP="00B469C3">
      <w:pPr>
        <w:widowControl w:val="0"/>
        <w:spacing w:line="240" w:lineRule="auto"/>
        <w:ind w:left="0" w:firstLine="720"/>
        <w:jc w:val="both"/>
        <w:rPr>
          <w:rFonts w:eastAsia="Times New Roman" w:cs="Times New Roman"/>
          <w:b/>
          <w:sz w:val="27"/>
          <w:szCs w:val="27"/>
        </w:rPr>
      </w:pPr>
      <w:r>
        <w:rPr>
          <w:rFonts w:eastAsia="Times New Roman" w:cs="Times New Roman"/>
          <w:b/>
          <w:sz w:val="27"/>
          <w:szCs w:val="27"/>
        </w:rPr>
        <w:t>2. Mục tiêu</w:t>
      </w:r>
    </w:p>
    <w:p w:rsidR="0072666F" w:rsidRPr="00D43AAD" w:rsidRDefault="0072666F" w:rsidP="0072666F">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xml:space="preserve">Đến năm 2030, hình thành và tổ chức hoạt động </w:t>
      </w:r>
      <w:r w:rsidR="00F617A1" w:rsidRPr="00D43AAD">
        <w:rPr>
          <w:rFonts w:eastAsia="Times New Roman" w:cs="Times New Roman"/>
          <w:sz w:val="27"/>
          <w:szCs w:val="27"/>
        </w:rPr>
        <w:t>6</w:t>
      </w:r>
      <w:r w:rsidR="00A81841">
        <w:rPr>
          <w:rFonts w:eastAsia="Times New Roman" w:cs="Times New Roman"/>
          <w:sz w:val="27"/>
          <w:szCs w:val="27"/>
        </w:rPr>
        <w:t>5</w:t>
      </w:r>
      <w:r w:rsidRPr="00D43AAD">
        <w:rPr>
          <w:rFonts w:eastAsia="Times New Roman" w:cs="Times New Roman"/>
          <w:sz w:val="27"/>
          <w:szCs w:val="27"/>
        </w:rPr>
        <w:t>trung tâm nghề cá lớn</w:t>
      </w:r>
      <w:r w:rsidR="00A81841">
        <w:rPr>
          <w:rFonts w:eastAsia="Times New Roman" w:cs="Times New Roman"/>
          <w:sz w:val="27"/>
          <w:szCs w:val="27"/>
        </w:rPr>
        <w:t xml:space="preserve"> gắn với ngư trường trọng điểm</w:t>
      </w:r>
      <w:r w:rsidRPr="00D43AAD">
        <w:rPr>
          <w:rFonts w:eastAsia="Times New Roman" w:cs="Times New Roman"/>
          <w:sz w:val="27"/>
          <w:szCs w:val="27"/>
        </w:rPr>
        <w:t>, tạo sức hút, tạo động lực cho ngành thủy sản phát triển theo hướng công nghiệp hóa - hiện đại hóa hiệu quả và bền vững</w:t>
      </w:r>
      <w:r w:rsidR="00F617A1" w:rsidRPr="00D43AAD">
        <w:rPr>
          <w:rFonts w:eastAsia="Times New Roman" w:cs="Times New Roman"/>
          <w:sz w:val="27"/>
          <w:szCs w:val="27"/>
        </w:rPr>
        <w:t xml:space="preserve"> được phê duyệt tại Quy hoạch tổng thể phát triển ngành thủy sản đến năm 2020, tầm nhìn 2030 (Quyết định số 1445/QĐ-TTg ngày 16/8/2013).</w:t>
      </w:r>
    </w:p>
    <w:p w:rsidR="001808DB" w:rsidRPr="00D43AAD" w:rsidRDefault="0072666F" w:rsidP="0072666F">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xml:space="preserve"> Các trung tâm nghề cá lớn gắn kết với các ngư trường trọng điểm bảo đảm đồng bộ, hiện đại; có cơ sở đóng mới, sửa chữa tàu khai thác xa bờ; có cơ sở sản xuất nước đá, hệ thống kho lạnh, chợ đầu mối thủy sản, các cơ sở sản xuất ngư cụ, thiết bị nghề cá.</w:t>
      </w:r>
    </w:p>
    <w:p w:rsidR="0072666F" w:rsidRPr="00D43AAD" w:rsidRDefault="0072666F" w:rsidP="0072666F">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Ưu tiên đầu tư cảng cá loại I kết hợp khu neo đậu tránh trú bão có khả năng thu hút tàu cá của nhiều địa phương, kể cả tàu cá nước ngoài, đến bốc dỡ thủy sản, thực hiện các dịch vụ nghề cá khác và là đầu mối phân phối hàng thủy sản tại khu vực, nhằm hình thành hạt nhân của trung tâm nghề cá</w:t>
      </w:r>
      <w:r w:rsidR="00FA2F2A" w:rsidRPr="00D43AAD">
        <w:rPr>
          <w:rFonts w:eastAsia="Times New Roman" w:cs="Times New Roman"/>
          <w:sz w:val="27"/>
          <w:szCs w:val="27"/>
        </w:rPr>
        <w:t xml:space="preserve"> lớn</w:t>
      </w:r>
      <w:r w:rsidRPr="00D43AAD">
        <w:rPr>
          <w:rFonts w:eastAsia="Times New Roman" w:cs="Times New Roman"/>
          <w:sz w:val="27"/>
          <w:szCs w:val="27"/>
        </w:rPr>
        <w:t xml:space="preserve"> (cảng cá động lực).</w:t>
      </w:r>
    </w:p>
    <w:p w:rsidR="00F617A1" w:rsidRPr="00D43AAD" w:rsidRDefault="00A81841" w:rsidP="0072666F">
      <w:pPr>
        <w:widowControl w:val="0"/>
        <w:spacing w:line="240" w:lineRule="auto"/>
        <w:ind w:left="0" w:firstLine="720"/>
        <w:jc w:val="both"/>
        <w:rPr>
          <w:rFonts w:cs="Times New Roman"/>
          <w:b/>
          <w:sz w:val="27"/>
          <w:szCs w:val="27"/>
        </w:rPr>
      </w:pPr>
      <w:r>
        <w:rPr>
          <w:rFonts w:cs="Times New Roman"/>
          <w:b/>
          <w:sz w:val="27"/>
          <w:szCs w:val="27"/>
        </w:rPr>
        <w:t>3. Nội dung đầu tư các Trung tâm nghề cá lớn</w:t>
      </w:r>
    </w:p>
    <w:p w:rsidR="00217734" w:rsidRDefault="00A81841" w:rsidP="00EF3CBD">
      <w:pPr>
        <w:widowControl w:val="0"/>
        <w:spacing w:line="240" w:lineRule="auto"/>
        <w:ind w:left="0" w:firstLine="720"/>
        <w:jc w:val="both"/>
        <w:rPr>
          <w:rFonts w:eastAsia="Times New Roman" w:cs="Times New Roman"/>
          <w:sz w:val="27"/>
          <w:szCs w:val="27"/>
        </w:rPr>
      </w:pPr>
      <w:r>
        <w:rPr>
          <w:rFonts w:eastAsia="Times New Roman" w:cs="Times New Roman"/>
          <w:sz w:val="27"/>
          <w:szCs w:val="27"/>
        </w:rPr>
        <w:t>a)</w:t>
      </w:r>
      <w:r w:rsidR="00323F5C" w:rsidRPr="00D43AAD">
        <w:rPr>
          <w:rFonts w:eastAsia="Times New Roman" w:cs="Times New Roman"/>
          <w:sz w:val="27"/>
          <w:szCs w:val="27"/>
        </w:rPr>
        <w:t xml:space="preserve"> Nhu cầu vốn đầu tư đối với các Trung tâm nghề cá lớn: </w:t>
      </w:r>
    </w:p>
    <w:p w:rsidR="00EF3CBD" w:rsidRPr="00D43AAD" w:rsidRDefault="00EF3CBD" w:rsidP="00EF3CBD">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Tại Quy hoạch tổng thể phát triển ngành thủy sản đến năm 2020, tầm nhìn 2030, Thủ tướng Chính phủ đã quyết định hình thành 5 Trung tâm nghề cá lớn gắn với các ngư trường trọng điểm:</w:t>
      </w:r>
    </w:p>
    <w:p w:rsidR="00EF3CBD" w:rsidRPr="00D43AAD" w:rsidRDefault="00EF3CBD" w:rsidP="00EF3CBD">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Trung tâm nghề cá Hải Phòng, gắn với ngư trường Vịnh Bắc bộ;</w:t>
      </w:r>
    </w:p>
    <w:p w:rsidR="00EF3CBD" w:rsidRPr="00D43AAD" w:rsidRDefault="00EF3CBD" w:rsidP="00EF3CBD">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Trung tâm nghề cá Đà Nẵng, gắn với ngư trường Biển Đông và Hoàng Sa;</w:t>
      </w:r>
    </w:p>
    <w:p w:rsidR="00EF3CBD" w:rsidRPr="00D43AAD" w:rsidRDefault="00EF3CBD" w:rsidP="00EF3CBD">
      <w:pPr>
        <w:widowControl w:val="0"/>
        <w:spacing w:line="240" w:lineRule="auto"/>
        <w:ind w:left="0" w:firstLine="720"/>
        <w:jc w:val="both"/>
        <w:rPr>
          <w:rFonts w:eastAsia="Times New Roman" w:cs="Times New Roman"/>
          <w:spacing w:val="-8"/>
          <w:sz w:val="27"/>
          <w:szCs w:val="27"/>
        </w:rPr>
      </w:pPr>
      <w:r w:rsidRPr="00D43AAD">
        <w:rPr>
          <w:rFonts w:eastAsia="Times New Roman" w:cs="Times New Roman"/>
          <w:spacing w:val="-8"/>
          <w:sz w:val="27"/>
          <w:szCs w:val="27"/>
        </w:rPr>
        <w:t>- Trung tâm nghề cá Khánh Hòa, gắn với ngư trường Nam Trung bộ và Trường Sa;</w:t>
      </w:r>
    </w:p>
    <w:p w:rsidR="00EF3CBD" w:rsidRPr="00D43AAD" w:rsidRDefault="00EF3CBD" w:rsidP="00EF3CBD">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Trung tâm nghề cá Bà Rịa - Vũng Tàu, gắn với ngư trường Đông Nam bộ;</w:t>
      </w:r>
    </w:p>
    <w:p w:rsidR="00EF3CBD" w:rsidRPr="00D43AAD" w:rsidRDefault="00EF3CBD" w:rsidP="00EF3CBD">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Trung tâm nghề cá Kiên Giang, gắn với ngư trường Tây Nam bộ;</w:t>
      </w:r>
    </w:p>
    <w:p w:rsidR="00EF3CBD" w:rsidRDefault="00EF3CBD" w:rsidP="00EF3CBD">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Trung tâm phát triển thủy sản Cần Thơ, gắn với vùng nuôi trồng thủy sản Đồng bằng sông Cửu Long.</w:t>
      </w:r>
    </w:p>
    <w:p w:rsidR="00D43AAD" w:rsidRPr="00D43AAD" w:rsidRDefault="00D43AAD" w:rsidP="00EF3CBD">
      <w:pPr>
        <w:widowControl w:val="0"/>
        <w:spacing w:line="240" w:lineRule="auto"/>
        <w:ind w:left="0" w:firstLine="720"/>
        <w:jc w:val="both"/>
        <w:rPr>
          <w:rFonts w:eastAsia="Times New Roman" w:cs="Times New Roman"/>
          <w:i/>
          <w:sz w:val="27"/>
          <w:szCs w:val="27"/>
        </w:rPr>
      </w:pPr>
      <w:r>
        <w:rPr>
          <w:rFonts w:eastAsia="Times New Roman" w:cs="Times New Roman"/>
          <w:i/>
          <w:sz w:val="27"/>
          <w:szCs w:val="27"/>
        </w:rPr>
        <w:t>(</w:t>
      </w:r>
      <w:r w:rsidR="00A3701D">
        <w:rPr>
          <w:rFonts w:eastAsia="Times New Roman" w:cs="Times New Roman"/>
          <w:i/>
          <w:sz w:val="27"/>
          <w:szCs w:val="27"/>
        </w:rPr>
        <w:t>Chức năng, t</w:t>
      </w:r>
      <w:r>
        <w:rPr>
          <w:rFonts w:eastAsia="Times New Roman" w:cs="Times New Roman"/>
          <w:i/>
          <w:sz w:val="27"/>
          <w:szCs w:val="27"/>
        </w:rPr>
        <w:t>hành phần chính tại 6 Trung tâm nghề cá tại phụ lục kèm theo)</w:t>
      </w:r>
    </w:p>
    <w:p w:rsidR="00FA2F2A" w:rsidRPr="00D43AAD" w:rsidRDefault="00EF3CBD" w:rsidP="00FA2F2A">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xml:space="preserve">Để triển khai </w:t>
      </w:r>
      <w:r w:rsidR="00FA2F2A" w:rsidRPr="00D43AAD">
        <w:rPr>
          <w:rFonts w:eastAsia="Times New Roman" w:cs="Times New Roman"/>
          <w:sz w:val="27"/>
          <w:szCs w:val="27"/>
        </w:rPr>
        <w:t>Quyết định 1445/QĐ-TTg, ngành thủy sản tập trung đầu tư xây dựng 5 Trung tâm nghề cá lớ</w:t>
      </w:r>
      <w:r w:rsidR="00A81841">
        <w:rPr>
          <w:rFonts w:eastAsia="Times New Roman" w:cs="Times New Roman"/>
          <w:sz w:val="27"/>
          <w:szCs w:val="27"/>
        </w:rPr>
        <w:t>n</w:t>
      </w:r>
      <w:r w:rsidR="00FA2F2A" w:rsidRPr="00D43AAD">
        <w:rPr>
          <w:rFonts w:eastAsia="Times New Roman" w:cs="Times New Roman"/>
          <w:sz w:val="27"/>
          <w:szCs w:val="27"/>
        </w:rPr>
        <w:t>, nhu cầu vốn đầu tư 5 Trung tâm nghề cá lớn là rất lớn. Tổng nhu cầu vốn đầu tư ước tính khoảng 14.900 tỷ đồng, trong đó:</w:t>
      </w:r>
    </w:p>
    <w:p w:rsidR="00FA2F2A" w:rsidRPr="00D43AAD" w:rsidRDefault="00FA2F2A" w:rsidP="00FA2F2A">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Vốn Ngân sách Trung ương: Khoảng 5.800 tỷ, chiếm khoảng 39% tổng nhu cầu. Thực hiện đầu tư: các hạng mục công trình kỹ thuật; mua sắm thiết bị; chi phí quản lý, tư vấn..</w:t>
      </w:r>
    </w:p>
    <w:p w:rsidR="00FA2F2A" w:rsidRPr="00D43AAD" w:rsidRDefault="00FA2F2A" w:rsidP="00FA2F2A">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lastRenderedPageBreak/>
        <w:t>- Vốn ngân sách địa phương: Khoảng 800 tỷ đồng, chiếm khoảng 5,5% tổng nhu cầu. Thực hiện công tác giải phóng mặt bằng …</w:t>
      </w:r>
    </w:p>
    <w:p w:rsidR="00FA2F2A" w:rsidRPr="00D43AAD" w:rsidRDefault="00FA2F2A" w:rsidP="00FA2F2A">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Vốn huy động khác (PPP; vốn tư nhân): khoảng 8.300 tỷ đồng, chiêm khoảng 55,5 % tổng nhu cầu. Thực hiện đầu tư các hạng mục công trình phục vụ sản xuất; đầu tư cơ sở dịch vụ hậu cần nghề cá…</w:t>
      </w:r>
    </w:p>
    <w:p w:rsidR="00323F5C" w:rsidRPr="00D43AAD" w:rsidRDefault="00323F5C" w:rsidP="00A81841">
      <w:pPr>
        <w:widowControl w:val="0"/>
        <w:spacing w:after="120" w:line="240" w:lineRule="auto"/>
        <w:ind w:left="0"/>
        <w:jc w:val="both"/>
        <w:rPr>
          <w:szCs w:val="28"/>
        </w:rPr>
      </w:pPr>
      <w:r w:rsidRPr="00D43AAD">
        <w:rPr>
          <w:szCs w:val="28"/>
        </w:rPr>
        <w:t>Bảng. Nhu cầu vốn đối với 5 Trung tâm nghề cá gắn với ngư trường trọng điểm</w:t>
      </w:r>
    </w:p>
    <w:tbl>
      <w:tblPr>
        <w:tblW w:w="9497" w:type="dxa"/>
        <w:tblInd w:w="108" w:type="dxa"/>
        <w:tblLayout w:type="fixed"/>
        <w:tblLook w:val="04A0"/>
      </w:tblPr>
      <w:tblGrid>
        <w:gridCol w:w="426"/>
        <w:gridCol w:w="2551"/>
        <w:gridCol w:w="992"/>
        <w:gridCol w:w="992"/>
        <w:gridCol w:w="992"/>
        <w:gridCol w:w="1135"/>
        <w:gridCol w:w="2409"/>
      </w:tblGrid>
      <w:tr w:rsidR="00323F5C" w:rsidRPr="00D43AAD" w:rsidTr="00D43AAD">
        <w:trPr>
          <w:trHeight w:val="33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F5C" w:rsidRPr="00D43AAD" w:rsidRDefault="00323F5C" w:rsidP="00323F5C">
            <w:pPr>
              <w:spacing w:line="240" w:lineRule="auto"/>
              <w:ind w:left="0"/>
              <w:jc w:val="center"/>
              <w:rPr>
                <w:b/>
                <w:bCs/>
                <w:sz w:val="24"/>
                <w:szCs w:val="24"/>
              </w:rPr>
            </w:pPr>
            <w:r w:rsidRPr="00D43AAD">
              <w:rPr>
                <w:b/>
                <w:bCs/>
                <w:sz w:val="24"/>
                <w:szCs w:val="24"/>
              </w:rPr>
              <w:t>STT</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F5C" w:rsidRPr="00D43AAD" w:rsidRDefault="00323F5C" w:rsidP="00323F5C">
            <w:pPr>
              <w:spacing w:line="240" w:lineRule="auto"/>
              <w:ind w:left="34"/>
              <w:jc w:val="center"/>
              <w:rPr>
                <w:b/>
                <w:bCs/>
                <w:sz w:val="24"/>
                <w:szCs w:val="24"/>
              </w:rPr>
            </w:pPr>
            <w:r w:rsidRPr="00D43AAD">
              <w:rPr>
                <w:b/>
                <w:bCs/>
                <w:sz w:val="24"/>
                <w:szCs w:val="24"/>
              </w:rPr>
              <w:t>Nội dung đầu tư</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rsidR="00323F5C" w:rsidRPr="00D43AAD" w:rsidRDefault="00323F5C" w:rsidP="00323F5C">
            <w:pPr>
              <w:spacing w:after="120" w:line="240" w:lineRule="auto"/>
              <w:ind w:left="33"/>
              <w:jc w:val="center"/>
              <w:rPr>
                <w:b/>
                <w:bCs/>
                <w:sz w:val="24"/>
                <w:szCs w:val="24"/>
              </w:rPr>
            </w:pPr>
            <w:r w:rsidRPr="00D43AAD">
              <w:rPr>
                <w:b/>
                <w:bCs/>
                <w:sz w:val="24"/>
                <w:szCs w:val="24"/>
              </w:rPr>
              <w:t>Nhu cầu nguồn vốn</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F5C" w:rsidRPr="00D43AAD" w:rsidRDefault="00323F5C" w:rsidP="00323F5C">
            <w:pPr>
              <w:spacing w:line="240" w:lineRule="auto"/>
              <w:ind w:left="0"/>
              <w:jc w:val="center"/>
              <w:rPr>
                <w:b/>
                <w:bCs/>
                <w:sz w:val="24"/>
                <w:szCs w:val="24"/>
              </w:rPr>
            </w:pPr>
            <w:r w:rsidRPr="00D43AAD">
              <w:rPr>
                <w:b/>
                <w:bCs/>
                <w:sz w:val="24"/>
                <w:szCs w:val="24"/>
              </w:rPr>
              <w:t>Ghi chú</w:t>
            </w:r>
          </w:p>
        </w:tc>
      </w:tr>
      <w:tr w:rsidR="00323F5C" w:rsidRPr="00D43AAD" w:rsidTr="00D43AAD">
        <w:trPr>
          <w:trHeight w:val="34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323F5C" w:rsidRPr="00D43AAD" w:rsidRDefault="00323F5C" w:rsidP="00323F5C">
            <w:pPr>
              <w:spacing w:line="240" w:lineRule="auto"/>
              <w:ind w:left="0"/>
              <w:rPr>
                <w:b/>
                <w:bCs/>
                <w:sz w:val="24"/>
                <w:szCs w:val="24"/>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323F5C" w:rsidRPr="00D43AAD" w:rsidRDefault="00323F5C" w:rsidP="00323F5C">
            <w:pPr>
              <w:spacing w:line="240" w:lineRule="auto"/>
              <w:ind w:left="34"/>
              <w:rPr>
                <w:b/>
                <w:bCs/>
                <w:sz w:val="24"/>
                <w:szCs w:val="24"/>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23F5C" w:rsidRPr="00D43AAD" w:rsidRDefault="00323F5C" w:rsidP="00323F5C">
            <w:pPr>
              <w:spacing w:line="240" w:lineRule="auto"/>
              <w:ind w:left="33"/>
              <w:jc w:val="center"/>
              <w:rPr>
                <w:b/>
                <w:bCs/>
                <w:sz w:val="24"/>
                <w:szCs w:val="24"/>
              </w:rPr>
            </w:pPr>
            <w:r w:rsidRPr="00D43AAD">
              <w:rPr>
                <w:b/>
                <w:bCs/>
                <w:sz w:val="24"/>
                <w:szCs w:val="24"/>
              </w:rPr>
              <w:t>Tổng cộng</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rsidR="00323F5C" w:rsidRPr="00D43AAD" w:rsidRDefault="00323F5C" w:rsidP="00323F5C">
            <w:pPr>
              <w:spacing w:line="240" w:lineRule="auto"/>
              <w:ind w:left="33"/>
              <w:jc w:val="center"/>
              <w:rPr>
                <w:b/>
                <w:bCs/>
                <w:i/>
                <w:iCs/>
                <w:sz w:val="24"/>
                <w:szCs w:val="24"/>
              </w:rPr>
            </w:pPr>
            <w:r w:rsidRPr="00D43AAD">
              <w:rPr>
                <w:b/>
                <w:bCs/>
                <w:i/>
                <w:iCs/>
                <w:sz w:val="24"/>
                <w:szCs w:val="24"/>
              </w:rPr>
              <w:t>Trong đó:</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323F5C" w:rsidRPr="00D43AAD" w:rsidRDefault="00323F5C" w:rsidP="00323F5C">
            <w:pPr>
              <w:spacing w:line="240" w:lineRule="auto"/>
              <w:ind w:left="0"/>
              <w:rPr>
                <w:b/>
                <w:bCs/>
                <w:sz w:val="24"/>
                <w:szCs w:val="24"/>
              </w:rPr>
            </w:pPr>
          </w:p>
        </w:tc>
      </w:tr>
      <w:tr w:rsidR="00323F5C" w:rsidRPr="00D43AAD" w:rsidTr="00D43AAD">
        <w:trPr>
          <w:trHeight w:val="47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323F5C" w:rsidRPr="00D43AAD" w:rsidRDefault="00323F5C" w:rsidP="00323F5C">
            <w:pPr>
              <w:spacing w:line="240" w:lineRule="auto"/>
              <w:ind w:left="0"/>
              <w:rPr>
                <w:b/>
                <w:bCs/>
                <w:sz w:val="24"/>
                <w:szCs w:val="24"/>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323F5C" w:rsidRPr="00D43AAD" w:rsidRDefault="00323F5C" w:rsidP="00323F5C">
            <w:pPr>
              <w:spacing w:line="240" w:lineRule="auto"/>
              <w:ind w:left="34"/>
              <w:rPr>
                <w:b/>
                <w:bCs/>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23F5C" w:rsidRPr="00D43AAD" w:rsidRDefault="00323F5C" w:rsidP="00323F5C">
            <w:pPr>
              <w:spacing w:line="240" w:lineRule="auto"/>
              <w:ind w:left="33"/>
              <w:rPr>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center"/>
              <w:rPr>
                <w:bCs/>
                <w:sz w:val="24"/>
                <w:szCs w:val="24"/>
              </w:rPr>
            </w:pPr>
            <w:r w:rsidRPr="00D43AAD">
              <w:rPr>
                <w:bCs/>
                <w:sz w:val="24"/>
                <w:szCs w:val="24"/>
              </w:rPr>
              <w:t>NSTW</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center"/>
              <w:rPr>
                <w:bCs/>
                <w:sz w:val="24"/>
                <w:szCs w:val="24"/>
              </w:rPr>
            </w:pPr>
            <w:r w:rsidRPr="00D43AAD">
              <w:rPr>
                <w:bCs/>
                <w:sz w:val="24"/>
                <w:szCs w:val="24"/>
              </w:rPr>
              <w:t>NSĐP</w:t>
            </w:r>
          </w:p>
        </w:tc>
        <w:tc>
          <w:tcPr>
            <w:tcW w:w="1135"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right="-108"/>
              <w:jc w:val="center"/>
              <w:rPr>
                <w:bCs/>
                <w:sz w:val="24"/>
                <w:szCs w:val="24"/>
              </w:rPr>
            </w:pPr>
            <w:r w:rsidRPr="00D43AAD">
              <w:rPr>
                <w:bCs/>
                <w:sz w:val="24"/>
                <w:szCs w:val="24"/>
              </w:rPr>
              <w:t>Vốn khác</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323F5C" w:rsidRPr="00D43AAD" w:rsidRDefault="00323F5C" w:rsidP="00323F5C">
            <w:pPr>
              <w:spacing w:line="240" w:lineRule="auto"/>
              <w:ind w:left="0"/>
              <w:rPr>
                <w:b/>
                <w:bCs/>
                <w:sz w:val="24"/>
                <w:szCs w:val="24"/>
              </w:rPr>
            </w:pPr>
          </w:p>
        </w:tc>
      </w:tr>
      <w:tr w:rsidR="00323F5C" w:rsidRPr="00D43AAD" w:rsidTr="00D43AAD">
        <w:trPr>
          <w:trHeight w:val="83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center"/>
              <w:rPr>
                <w:bCs/>
                <w:sz w:val="24"/>
                <w:szCs w:val="24"/>
              </w:rPr>
            </w:pPr>
            <w:r w:rsidRPr="00D43AAD">
              <w:rPr>
                <w:bCs/>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4"/>
              <w:jc w:val="both"/>
              <w:rPr>
                <w:bCs/>
                <w:sz w:val="24"/>
                <w:szCs w:val="24"/>
              </w:rPr>
            </w:pPr>
            <w:r w:rsidRPr="00D43AAD">
              <w:rPr>
                <w:bCs/>
                <w:sz w:val="24"/>
                <w:szCs w:val="24"/>
              </w:rPr>
              <w:t>Trung tâm nghề cá lớn Hải Phòng</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3.750</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1.020</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60</w:t>
            </w:r>
          </w:p>
        </w:tc>
        <w:tc>
          <w:tcPr>
            <w:tcW w:w="1135"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2.670</w:t>
            </w:r>
          </w:p>
        </w:tc>
        <w:tc>
          <w:tcPr>
            <w:tcW w:w="2409"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both"/>
              <w:rPr>
                <w:sz w:val="24"/>
                <w:szCs w:val="24"/>
              </w:rPr>
            </w:pPr>
            <w:r w:rsidRPr="00D43AAD">
              <w:rPr>
                <w:sz w:val="24"/>
                <w:szCs w:val="24"/>
              </w:rPr>
              <w:t xml:space="preserve">Dự kiến </w:t>
            </w:r>
          </w:p>
        </w:tc>
      </w:tr>
      <w:tr w:rsidR="00323F5C" w:rsidRPr="00D43AAD" w:rsidTr="00D43AAD">
        <w:trPr>
          <w:trHeight w:val="82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center"/>
              <w:rPr>
                <w:bCs/>
                <w:sz w:val="24"/>
                <w:szCs w:val="24"/>
              </w:rPr>
            </w:pPr>
            <w:r w:rsidRPr="00D43AAD">
              <w:rPr>
                <w:bCs/>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4"/>
              <w:jc w:val="both"/>
              <w:rPr>
                <w:sz w:val="24"/>
                <w:szCs w:val="24"/>
              </w:rPr>
            </w:pPr>
            <w:r w:rsidRPr="00D43AAD">
              <w:rPr>
                <w:bCs/>
                <w:sz w:val="24"/>
                <w:szCs w:val="24"/>
              </w:rPr>
              <w:t>Trung tâm nghề cá lớn Kiên Giang</w:t>
            </w:r>
            <w:r w:rsidRPr="00D43AAD">
              <w:rPr>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2.210</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1.289</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264</w:t>
            </w:r>
          </w:p>
        </w:tc>
        <w:tc>
          <w:tcPr>
            <w:tcW w:w="1135"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657</w:t>
            </w:r>
          </w:p>
        </w:tc>
        <w:tc>
          <w:tcPr>
            <w:tcW w:w="2409"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both"/>
              <w:rPr>
                <w:sz w:val="24"/>
                <w:szCs w:val="24"/>
              </w:rPr>
            </w:pPr>
            <w:r w:rsidRPr="00D43AAD">
              <w:rPr>
                <w:sz w:val="24"/>
                <w:szCs w:val="24"/>
              </w:rPr>
              <w:t xml:space="preserve">Theo Quyết định số 1918/QĐ-UBND ngày 26/8/2016 </w:t>
            </w:r>
          </w:p>
        </w:tc>
      </w:tr>
      <w:tr w:rsidR="00323F5C" w:rsidRPr="00D43AAD" w:rsidTr="00D43AAD">
        <w:trPr>
          <w:trHeight w:val="49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center"/>
              <w:rPr>
                <w:bCs/>
                <w:sz w:val="24"/>
                <w:szCs w:val="24"/>
              </w:rPr>
            </w:pPr>
            <w:r w:rsidRPr="00D43AAD">
              <w:rPr>
                <w:bCs/>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4"/>
              <w:jc w:val="both"/>
              <w:rPr>
                <w:bCs/>
                <w:sz w:val="24"/>
                <w:szCs w:val="24"/>
              </w:rPr>
            </w:pPr>
            <w:r w:rsidRPr="00D43AAD">
              <w:rPr>
                <w:bCs/>
                <w:sz w:val="24"/>
                <w:szCs w:val="24"/>
              </w:rPr>
              <w:t>Trung tâm nghề cá lớn Đà Nẵng:</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2.980</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1.155</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165</w:t>
            </w:r>
          </w:p>
        </w:tc>
        <w:tc>
          <w:tcPr>
            <w:tcW w:w="1135"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1.660</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323F5C" w:rsidRPr="00D43AAD" w:rsidRDefault="00323F5C" w:rsidP="00323F5C">
            <w:pPr>
              <w:spacing w:line="240" w:lineRule="auto"/>
              <w:ind w:left="0"/>
              <w:jc w:val="both"/>
              <w:rPr>
                <w:sz w:val="24"/>
                <w:szCs w:val="24"/>
              </w:rPr>
            </w:pPr>
            <w:r w:rsidRPr="00D43AAD">
              <w:rPr>
                <w:sz w:val="24"/>
                <w:szCs w:val="24"/>
              </w:rPr>
              <w:t>Nhu cầu nguồn vốn tạm tính bằng mức trung bình của các Trung tâm NCL Hải Phòng và Kiên Giang</w:t>
            </w:r>
          </w:p>
        </w:tc>
      </w:tr>
      <w:tr w:rsidR="00323F5C" w:rsidRPr="00D43AAD" w:rsidTr="00D43AAD">
        <w:trPr>
          <w:trHeight w:val="6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center"/>
              <w:rPr>
                <w:bCs/>
                <w:sz w:val="24"/>
                <w:szCs w:val="24"/>
              </w:rPr>
            </w:pPr>
            <w:r w:rsidRPr="00D43AAD">
              <w:rPr>
                <w:bCs/>
                <w:sz w:val="24"/>
                <w:szCs w:val="24"/>
              </w:rPr>
              <w:t>4</w:t>
            </w:r>
          </w:p>
        </w:tc>
        <w:tc>
          <w:tcPr>
            <w:tcW w:w="2551"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4"/>
              <w:jc w:val="both"/>
              <w:rPr>
                <w:bCs/>
                <w:sz w:val="24"/>
                <w:szCs w:val="24"/>
              </w:rPr>
            </w:pPr>
            <w:r w:rsidRPr="00D43AAD">
              <w:rPr>
                <w:bCs/>
                <w:sz w:val="24"/>
                <w:szCs w:val="24"/>
              </w:rPr>
              <w:t>Trung tâm nghề cá lớn Khánh Hòa</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2.980</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1.155</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165</w:t>
            </w:r>
          </w:p>
        </w:tc>
        <w:tc>
          <w:tcPr>
            <w:tcW w:w="1135"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1.660</w:t>
            </w:r>
          </w:p>
        </w:tc>
        <w:tc>
          <w:tcPr>
            <w:tcW w:w="2409" w:type="dxa"/>
            <w:vMerge/>
            <w:tcBorders>
              <w:top w:val="nil"/>
              <w:left w:val="single" w:sz="4" w:space="0" w:color="auto"/>
              <w:bottom w:val="single" w:sz="4" w:space="0" w:color="000000"/>
              <w:right w:val="single" w:sz="4" w:space="0" w:color="auto"/>
            </w:tcBorders>
            <w:vAlign w:val="center"/>
            <w:hideMark/>
          </w:tcPr>
          <w:p w:rsidR="00323F5C" w:rsidRPr="00D43AAD" w:rsidRDefault="00323F5C" w:rsidP="00A3701D">
            <w:pPr>
              <w:spacing w:line="240" w:lineRule="auto"/>
              <w:rPr>
                <w:sz w:val="24"/>
                <w:szCs w:val="24"/>
              </w:rPr>
            </w:pPr>
          </w:p>
        </w:tc>
      </w:tr>
      <w:tr w:rsidR="00323F5C" w:rsidRPr="00D43AAD" w:rsidTr="00D43AAD">
        <w:trPr>
          <w:trHeight w:val="6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center"/>
              <w:rPr>
                <w:bCs/>
                <w:sz w:val="24"/>
                <w:szCs w:val="24"/>
              </w:rPr>
            </w:pPr>
            <w:r w:rsidRPr="00D43AAD">
              <w:rPr>
                <w:bCs/>
                <w:sz w:val="24"/>
                <w:szCs w:val="24"/>
              </w:rPr>
              <w:t>5</w:t>
            </w:r>
          </w:p>
        </w:tc>
        <w:tc>
          <w:tcPr>
            <w:tcW w:w="2551"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4"/>
              <w:jc w:val="both"/>
              <w:rPr>
                <w:bCs/>
                <w:sz w:val="24"/>
                <w:szCs w:val="24"/>
              </w:rPr>
            </w:pPr>
            <w:r w:rsidRPr="00D43AAD">
              <w:rPr>
                <w:bCs/>
                <w:sz w:val="24"/>
                <w:szCs w:val="24"/>
              </w:rPr>
              <w:t>Trung tâm nghề cá lớn Bà Rịa - Vũng Tàu</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2.980</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1.155</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165</w:t>
            </w:r>
          </w:p>
        </w:tc>
        <w:tc>
          <w:tcPr>
            <w:tcW w:w="1135"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sz w:val="24"/>
                <w:szCs w:val="24"/>
              </w:rPr>
            </w:pPr>
            <w:r w:rsidRPr="00D43AAD">
              <w:rPr>
                <w:sz w:val="24"/>
                <w:szCs w:val="24"/>
              </w:rPr>
              <w:t>1.660</w:t>
            </w:r>
          </w:p>
        </w:tc>
        <w:tc>
          <w:tcPr>
            <w:tcW w:w="2409" w:type="dxa"/>
            <w:vMerge/>
            <w:tcBorders>
              <w:top w:val="nil"/>
              <w:left w:val="single" w:sz="4" w:space="0" w:color="auto"/>
              <w:bottom w:val="single" w:sz="4" w:space="0" w:color="000000"/>
              <w:right w:val="single" w:sz="4" w:space="0" w:color="auto"/>
            </w:tcBorders>
            <w:vAlign w:val="center"/>
            <w:hideMark/>
          </w:tcPr>
          <w:p w:rsidR="00323F5C" w:rsidRPr="00D43AAD" w:rsidRDefault="00323F5C" w:rsidP="00A3701D">
            <w:pPr>
              <w:spacing w:line="240" w:lineRule="auto"/>
              <w:rPr>
                <w:sz w:val="24"/>
                <w:szCs w:val="24"/>
              </w:rPr>
            </w:pPr>
          </w:p>
        </w:tc>
      </w:tr>
      <w:tr w:rsidR="00323F5C" w:rsidRPr="00D43AAD" w:rsidTr="00D43AAD">
        <w:trPr>
          <w:trHeight w:val="3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0"/>
              <w:jc w:val="center"/>
              <w:rPr>
                <w:b/>
                <w:bCs/>
                <w:sz w:val="24"/>
                <w:szCs w:val="24"/>
              </w:rPr>
            </w:pPr>
            <w:r w:rsidRPr="00D43AAD">
              <w:rPr>
                <w:b/>
                <w:bCs/>
                <w:sz w:val="24"/>
                <w:szCs w:val="24"/>
              </w:rPr>
              <w:t> </w:t>
            </w:r>
          </w:p>
        </w:tc>
        <w:tc>
          <w:tcPr>
            <w:tcW w:w="2551"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4"/>
              <w:jc w:val="both"/>
              <w:rPr>
                <w:b/>
                <w:bCs/>
                <w:sz w:val="24"/>
                <w:szCs w:val="24"/>
              </w:rPr>
            </w:pPr>
            <w:r w:rsidRPr="00D43AAD">
              <w:rPr>
                <w:b/>
                <w:bCs/>
                <w:sz w:val="24"/>
                <w:szCs w:val="24"/>
              </w:rPr>
              <w:t>TỔNG CỘNG:</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b/>
                <w:bCs/>
                <w:sz w:val="24"/>
                <w:szCs w:val="24"/>
              </w:rPr>
            </w:pPr>
            <w:r w:rsidRPr="00D43AAD">
              <w:rPr>
                <w:b/>
                <w:bCs/>
                <w:sz w:val="24"/>
                <w:szCs w:val="24"/>
              </w:rPr>
              <w:t>14.900</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b/>
                <w:bCs/>
                <w:sz w:val="24"/>
                <w:szCs w:val="24"/>
              </w:rPr>
            </w:pPr>
            <w:r w:rsidRPr="00D43AAD">
              <w:rPr>
                <w:b/>
                <w:bCs/>
                <w:sz w:val="24"/>
                <w:szCs w:val="24"/>
              </w:rPr>
              <w:t>5.774</w:t>
            </w:r>
          </w:p>
        </w:tc>
        <w:tc>
          <w:tcPr>
            <w:tcW w:w="992"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b/>
                <w:bCs/>
                <w:sz w:val="24"/>
                <w:szCs w:val="24"/>
              </w:rPr>
            </w:pPr>
            <w:r w:rsidRPr="00D43AAD">
              <w:rPr>
                <w:b/>
                <w:bCs/>
                <w:sz w:val="24"/>
                <w:szCs w:val="24"/>
              </w:rPr>
              <w:t>819</w:t>
            </w:r>
          </w:p>
        </w:tc>
        <w:tc>
          <w:tcPr>
            <w:tcW w:w="1135"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323F5C">
            <w:pPr>
              <w:spacing w:line="240" w:lineRule="auto"/>
              <w:ind w:left="33"/>
              <w:jc w:val="right"/>
              <w:rPr>
                <w:b/>
                <w:bCs/>
                <w:sz w:val="24"/>
                <w:szCs w:val="24"/>
              </w:rPr>
            </w:pPr>
            <w:r w:rsidRPr="00D43AAD">
              <w:rPr>
                <w:b/>
                <w:bCs/>
                <w:sz w:val="24"/>
                <w:szCs w:val="24"/>
              </w:rPr>
              <w:t>8.307</w:t>
            </w:r>
          </w:p>
        </w:tc>
        <w:tc>
          <w:tcPr>
            <w:tcW w:w="2409" w:type="dxa"/>
            <w:tcBorders>
              <w:top w:val="nil"/>
              <w:left w:val="nil"/>
              <w:bottom w:val="single" w:sz="4" w:space="0" w:color="auto"/>
              <w:right w:val="single" w:sz="4" w:space="0" w:color="auto"/>
            </w:tcBorders>
            <w:shd w:val="clear" w:color="auto" w:fill="auto"/>
            <w:vAlign w:val="center"/>
            <w:hideMark/>
          </w:tcPr>
          <w:p w:rsidR="00323F5C" w:rsidRPr="00D43AAD" w:rsidRDefault="00323F5C" w:rsidP="00A3701D">
            <w:pPr>
              <w:spacing w:line="240" w:lineRule="auto"/>
              <w:jc w:val="center"/>
              <w:rPr>
                <w:b/>
                <w:bCs/>
                <w:sz w:val="24"/>
                <w:szCs w:val="24"/>
              </w:rPr>
            </w:pPr>
            <w:r w:rsidRPr="00D43AAD">
              <w:rPr>
                <w:b/>
                <w:bCs/>
                <w:sz w:val="24"/>
                <w:szCs w:val="24"/>
              </w:rPr>
              <w:t> </w:t>
            </w:r>
          </w:p>
        </w:tc>
      </w:tr>
    </w:tbl>
    <w:p w:rsidR="00F617A1" w:rsidRPr="00D43AAD" w:rsidRDefault="00FA2F2A" w:rsidP="00323F5C">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Tuy nhiên, theo thông báo kế hoạch vốn ngân sách đầu tư trung hạn 2016-2020 được bố trí đầu tư xây dựng các Trung tâm nghề cá là 100 tỷ đồng, thấp hơn nhiều so với nhu cầu (14.900 tỷ đồng), trong đó vốn qua Bộ Nông nghiệp và Phát triển nông thôn là 50 tỷ đồng cho 2 cảng cá Thọ Quang (Đà Nẵng) và Tắc Cậu (Kiên Giang), vốn ngân sách địa phương là 50 tỷ đồng cho cảng cá Tắc Cậu (Kiên Giang).</w:t>
      </w:r>
    </w:p>
    <w:p w:rsidR="00323F5C" w:rsidRPr="00A81841" w:rsidRDefault="00A81841" w:rsidP="00323F5C">
      <w:pPr>
        <w:widowControl w:val="0"/>
        <w:spacing w:before="240" w:line="240" w:lineRule="auto"/>
        <w:ind w:left="0" w:firstLine="720"/>
        <w:jc w:val="both"/>
        <w:rPr>
          <w:rFonts w:eastAsia="Times New Roman" w:cs="Times New Roman"/>
          <w:sz w:val="27"/>
          <w:szCs w:val="27"/>
          <w:shd w:val="clear" w:color="auto" w:fill="FFFFFF"/>
        </w:rPr>
      </w:pPr>
      <w:r w:rsidRPr="00A81841">
        <w:rPr>
          <w:rFonts w:eastAsia="Times New Roman" w:cs="Times New Roman"/>
          <w:sz w:val="27"/>
          <w:szCs w:val="27"/>
        </w:rPr>
        <w:t>b)</w:t>
      </w:r>
      <w:r w:rsidR="00323F5C" w:rsidRPr="00A81841">
        <w:rPr>
          <w:rFonts w:eastAsia="Times New Roman" w:cs="Times New Roman"/>
          <w:sz w:val="27"/>
          <w:szCs w:val="27"/>
        </w:rPr>
        <w:t xml:space="preserve"> </w:t>
      </w:r>
      <w:r w:rsidR="00323F5C" w:rsidRPr="00A81841">
        <w:rPr>
          <w:rFonts w:eastAsia="Times New Roman" w:cs="Times New Roman"/>
          <w:sz w:val="27"/>
          <w:szCs w:val="27"/>
          <w:shd w:val="clear" w:color="auto" w:fill="FFFFFF"/>
        </w:rPr>
        <w:t>Tiêu chí đối với cảng cá động lực thuộc Trung tâm nghề cá lớn gắn với ngư trường trọng điểm</w:t>
      </w:r>
    </w:p>
    <w:p w:rsidR="00323F5C" w:rsidRPr="00D43AAD" w:rsidRDefault="00323F5C" w:rsidP="00323F5C">
      <w:pPr>
        <w:pStyle w:val="ListParagraph"/>
        <w:widowControl w:val="0"/>
        <w:spacing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xml:space="preserve">Theo quy định của Thủ tướng Chính phủ </w:t>
      </w:r>
      <w:r w:rsidRPr="00D43AAD">
        <w:rPr>
          <w:rFonts w:cs="Times New Roman"/>
          <w:i/>
          <w:noProof/>
          <w:sz w:val="27"/>
          <w:szCs w:val="27"/>
          <w:lang w:val="nl-NL"/>
        </w:rPr>
        <w:t xml:space="preserve">(Quyết định số 1976/QĐ-TTg ngày 12/11/2015 phê duyệt Quy hoạch hệ thống cảng cá và khu neo đậu tránh trú bão cho tàu cá đến năm 2020, định hướng đến năm 2030), </w:t>
      </w:r>
      <w:r w:rsidRPr="00D43AAD">
        <w:rPr>
          <w:rFonts w:cs="Times New Roman"/>
          <w:b/>
          <w:noProof/>
          <w:sz w:val="27"/>
          <w:szCs w:val="27"/>
          <w:lang w:val="nl-NL"/>
        </w:rPr>
        <w:t xml:space="preserve">Cảng cá động lực </w:t>
      </w:r>
      <w:r w:rsidRPr="00D43AAD">
        <w:rPr>
          <w:rFonts w:cs="Times New Roman"/>
          <w:noProof/>
          <w:sz w:val="27"/>
          <w:szCs w:val="27"/>
          <w:lang w:val="nl-NL"/>
        </w:rPr>
        <w:t>là cảng cá Loại I, được kết nối với hệ thống các hạ tầng kinh tế, xã hội, có cơ sở hạ tầng, dịch vụ hậu cần nghề cá đồng bộ, hiện đại, đáp ứng các tiêu chí sau:</w:t>
      </w:r>
    </w:p>
    <w:p w:rsidR="00323F5C" w:rsidRPr="00D43AAD" w:rsidRDefault="00323F5C" w:rsidP="00323F5C">
      <w:pPr>
        <w:pStyle w:val="ListParagraph"/>
        <w:widowControl w:val="0"/>
        <w:spacing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Đáp ứng lượng hàng thủy sản qua cảng trên 100.000 tấn/năm, có cầu cảng cho tàu cá công suất đến 2.000CV.</w:t>
      </w:r>
    </w:p>
    <w:p w:rsidR="00323F5C" w:rsidRPr="00D43AAD" w:rsidRDefault="00323F5C" w:rsidP="00323F5C">
      <w:pPr>
        <w:pStyle w:val="ListParagraph"/>
        <w:widowControl w:val="0"/>
        <w:spacing w:before="100"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Đảm bảo cho trên 1.000 tàu cá, cỡ tàu có công suất lớn nhất đến 600CV có thể neo đậu, tránh trú bão trong vùng nước cảng.</w:t>
      </w:r>
    </w:p>
    <w:p w:rsidR="00323F5C" w:rsidRPr="00D43AAD" w:rsidRDefault="00323F5C" w:rsidP="00323F5C">
      <w:pPr>
        <w:pStyle w:val="ListParagraph"/>
        <w:widowControl w:val="0"/>
        <w:spacing w:before="100" w:line="240" w:lineRule="auto"/>
        <w:ind w:left="0" w:firstLine="709"/>
        <w:contextualSpacing w:val="0"/>
        <w:jc w:val="both"/>
        <w:rPr>
          <w:rFonts w:cs="Times New Roman"/>
          <w:noProof/>
          <w:spacing w:val="-8"/>
          <w:sz w:val="27"/>
          <w:szCs w:val="27"/>
          <w:lang w:val="nl-NL"/>
        </w:rPr>
      </w:pPr>
      <w:r w:rsidRPr="00D43AAD">
        <w:rPr>
          <w:rFonts w:cs="Times New Roman"/>
          <w:noProof/>
          <w:spacing w:val="-8"/>
          <w:sz w:val="27"/>
          <w:szCs w:val="27"/>
          <w:lang w:val="nl-NL"/>
        </w:rPr>
        <w:t>- Các trang thiết bị chủ yếu, dây chuyền xếp dỡ hàng hóa được cơ giới hóa 100%.</w:t>
      </w:r>
    </w:p>
    <w:p w:rsidR="00323F5C" w:rsidRPr="00D43AAD" w:rsidRDefault="00323F5C" w:rsidP="00323F5C">
      <w:pPr>
        <w:pStyle w:val="ListParagraph"/>
        <w:widowControl w:val="0"/>
        <w:spacing w:before="100"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xml:space="preserve">- Đáp ứng yêu cầu của quy chuẩn kỹ thuật quốc gia về cảng cá - Điều kiện đảm bảo vệ sinh an toàn thực phẩm (trong đó 100% chất thải được xử lý, nước thải </w:t>
      </w:r>
      <w:r w:rsidRPr="00D43AAD">
        <w:rPr>
          <w:rFonts w:cs="Times New Roman"/>
          <w:noProof/>
          <w:sz w:val="27"/>
          <w:szCs w:val="27"/>
          <w:lang w:val="nl-NL"/>
        </w:rPr>
        <w:lastRenderedPageBreak/>
        <w:t>đạt chuẩn B của quy chuẩn nước thải công nghiệp).</w:t>
      </w:r>
    </w:p>
    <w:p w:rsidR="00323F5C" w:rsidRPr="00D43AAD" w:rsidRDefault="00323F5C" w:rsidP="00323F5C">
      <w:pPr>
        <w:pStyle w:val="ListParagraph"/>
        <w:widowControl w:val="0"/>
        <w:spacing w:before="100"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Diện tích vùng đất cảng trên bờ từ 15ha trở lên.</w:t>
      </w:r>
    </w:p>
    <w:p w:rsidR="00323F5C" w:rsidRPr="00D43AAD" w:rsidRDefault="00323F5C" w:rsidP="00323F5C">
      <w:pPr>
        <w:pStyle w:val="ListParagraph"/>
        <w:widowControl w:val="0"/>
        <w:spacing w:before="100"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Khu bến cảng bao gồm cầu cảng (cầu cảng chuyên dụng cho đối tượng khai thác, cầu cảng tổng hợp, cầu cảng quốc tế), nhà tập kết, phân loại sản phẩm thủy sản, khu mặt nước, luồng, nhà quản lý, khu dịch vụ cảng, kho chuyên dụng, kho trung chuyển, khu xử lý nước thải, hệ thống cấp điện và chiếu sáng, hệ thống cấp nước ngọt, xăng dầu.</w:t>
      </w:r>
    </w:p>
    <w:p w:rsidR="00323F5C" w:rsidRPr="00D43AAD" w:rsidRDefault="00323F5C" w:rsidP="00323F5C">
      <w:pPr>
        <w:pStyle w:val="ListParagraph"/>
        <w:widowControl w:val="0"/>
        <w:spacing w:before="100"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Kết nối với các khu chức năng đặc thù thủy sản (chế biến thủy sản, sửa chữa, sản xuất ngư lưới cụ, cơ khí đóng sửa đáp ứng cho tàu thuyền công suất lớn, vật liệu vỏ, thiết bị hàng hải, thông tin liên lạc, chợ thủy sản đầu mối), các cơ sở chuyên ngành thủy sản (cơ quan kiểm ngư, đăng kiểm tàu cá, cứu hộ, cứu nạn, quản lý chất lượng, đào tạo, nghiên cứu thủy sản).</w:t>
      </w:r>
    </w:p>
    <w:p w:rsidR="00323F5C" w:rsidRPr="00D43AAD" w:rsidRDefault="00323F5C" w:rsidP="00323F5C">
      <w:pPr>
        <w:pStyle w:val="ListParagraph"/>
        <w:widowControl w:val="0"/>
        <w:spacing w:before="100" w:line="240" w:lineRule="auto"/>
        <w:ind w:left="0" w:firstLine="709"/>
        <w:contextualSpacing w:val="0"/>
        <w:jc w:val="both"/>
        <w:rPr>
          <w:rFonts w:cs="Times New Roman"/>
          <w:noProof/>
          <w:sz w:val="27"/>
          <w:szCs w:val="27"/>
          <w:lang w:val="nl-NL"/>
        </w:rPr>
      </w:pPr>
      <w:r w:rsidRPr="00D43AAD">
        <w:rPr>
          <w:rFonts w:cs="Times New Roman"/>
          <w:noProof/>
          <w:sz w:val="27"/>
          <w:szCs w:val="27"/>
          <w:lang w:val="nl-NL"/>
        </w:rPr>
        <w:t>- Khuyến khích bố trí kết nối với các khu phi thuế quan, dịch vụ thương mại, tài chính, tín dụng.</w:t>
      </w:r>
    </w:p>
    <w:p w:rsidR="00323F5C" w:rsidRPr="00A81841" w:rsidRDefault="00A81841" w:rsidP="00323F5C">
      <w:pPr>
        <w:widowControl w:val="0"/>
        <w:spacing w:before="240" w:line="240" w:lineRule="auto"/>
        <w:ind w:left="0" w:firstLine="709"/>
        <w:jc w:val="both"/>
        <w:rPr>
          <w:rFonts w:cs="Times New Roman"/>
          <w:sz w:val="27"/>
          <w:szCs w:val="27"/>
          <w:shd w:val="clear" w:color="auto" w:fill="FFFFFF"/>
        </w:rPr>
      </w:pPr>
      <w:r w:rsidRPr="00A81841">
        <w:rPr>
          <w:rFonts w:cs="Times New Roman"/>
          <w:sz w:val="27"/>
          <w:szCs w:val="27"/>
          <w:shd w:val="clear" w:color="auto" w:fill="FFFFFF"/>
        </w:rPr>
        <w:t>c)</w:t>
      </w:r>
      <w:r w:rsidR="00323F5C" w:rsidRPr="00A81841">
        <w:rPr>
          <w:rFonts w:cs="Times New Roman"/>
          <w:sz w:val="27"/>
          <w:szCs w:val="27"/>
          <w:shd w:val="clear" w:color="auto" w:fill="FFFFFF"/>
        </w:rPr>
        <w:t xml:space="preserve"> Về chức năng, nhiệm vụ của Trung tâm nghề cá lớn</w:t>
      </w:r>
    </w:p>
    <w:p w:rsidR="00323F5C" w:rsidRPr="00D43AAD" w:rsidRDefault="00323F5C" w:rsidP="00323F5C">
      <w:pPr>
        <w:widowControl w:val="0"/>
        <w:shd w:val="clear" w:color="auto" w:fill="FFFFFF"/>
        <w:spacing w:line="240" w:lineRule="auto"/>
        <w:ind w:left="0" w:firstLine="709"/>
        <w:jc w:val="both"/>
        <w:rPr>
          <w:rFonts w:cs="Times New Roman"/>
          <w:sz w:val="27"/>
          <w:szCs w:val="27"/>
          <w:lang w:val="nl-NL"/>
        </w:rPr>
      </w:pPr>
      <w:r w:rsidRPr="00D43AAD">
        <w:rPr>
          <w:rFonts w:cs="Times New Roman"/>
          <w:sz w:val="27"/>
          <w:szCs w:val="27"/>
          <w:lang w:val="nl-NL"/>
        </w:rPr>
        <w:t>- Là khu chức năng đặc thù bao gồm tổ hợp cảng cá động lực được kết nối với hệ thống các hạ tầng kinh tế, xã hội, dịch vụ hậu cần nghề cá đồng bộ, hiện đại; có quy mô cấp quốc gia; tạo động lực hỗ trợ khai thác hải sản đặc biệt là khai thác hải sản xa bờ.</w:t>
      </w:r>
    </w:p>
    <w:p w:rsidR="00323F5C" w:rsidRPr="00D43AAD" w:rsidRDefault="00323F5C" w:rsidP="00323F5C">
      <w:pPr>
        <w:widowControl w:val="0"/>
        <w:shd w:val="clear" w:color="auto" w:fill="FFFFFF"/>
        <w:spacing w:line="240" w:lineRule="auto"/>
        <w:ind w:left="0" w:firstLine="709"/>
        <w:jc w:val="both"/>
        <w:rPr>
          <w:rFonts w:cs="Times New Roman"/>
          <w:sz w:val="27"/>
          <w:szCs w:val="27"/>
          <w:lang w:val="nl-NL"/>
        </w:rPr>
      </w:pPr>
      <w:r w:rsidRPr="00D43AAD">
        <w:rPr>
          <w:rFonts w:cs="Times New Roman"/>
          <w:sz w:val="27"/>
          <w:szCs w:val="27"/>
          <w:lang w:val="nl-NL"/>
        </w:rPr>
        <w:t>- Mỗi Trung tâm nghề cá lớn gắn với mỗi ngư trường trọng điểm có chức năng, nhiệm vụ, nguyên tắc tổ chức không gian gắn với lợi thế về kinh tế, xã hội, tài nguyên, nguồn nguyên liệu; hạ tầng kỹ thuật; có ranh giới và quy chế hoạt động riêng, làm đầu mối sản xuất, thương mại, dịch vụ hậu cần nghề cá trong thể liên hoàn, liên kết để giảm chi phí, tăng sức cạnh tranh.</w:t>
      </w:r>
    </w:p>
    <w:p w:rsidR="00323F5C" w:rsidRPr="00A81841" w:rsidRDefault="00A81841" w:rsidP="00323F5C">
      <w:pPr>
        <w:widowControl w:val="0"/>
        <w:spacing w:before="240" w:line="240" w:lineRule="auto"/>
        <w:ind w:left="0" w:firstLine="709"/>
        <w:jc w:val="both"/>
        <w:rPr>
          <w:rFonts w:cs="Times New Roman"/>
          <w:sz w:val="27"/>
          <w:szCs w:val="27"/>
          <w:shd w:val="clear" w:color="auto" w:fill="FFFFFF"/>
        </w:rPr>
      </w:pPr>
      <w:r w:rsidRPr="00A81841">
        <w:rPr>
          <w:rFonts w:cs="Times New Roman"/>
          <w:sz w:val="27"/>
          <w:szCs w:val="27"/>
          <w:shd w:val="clear" w:color="auto" w:fill="FFFFFF"/>
        </w:rPr>
        <w:t>d)</w:t>
      </w:r>
      <w:r w:rsidR="00323F5C" w:rsidRPr="00A81841">
        <w:rPr>
          <w:rFonts w:cs="Times New Roman"/>
          <w:sz w:val="27"/>
          <w:szCs w:val="27"/>
          <w:shd w:val="clear" w:color="auto" w:fill="FFFFFF"/>
        </w:rPr>
        <w:t xml:space="preserve"> Các thành phần thuộc Trung tâm nghề cá lớn</w:t>
      </w:r>
    </w:p>
    <w:p w:rsidR="00323F5C" w:rsidRPr="00D43AAD" w:rsidRDefault="00323F5C" w:rsidP="00323F5C">
      <w:pPr>
        <w:widowControl w:val="0"/>
        <w:spacing w:line="240" w:lineRule="auto"/>
        <w:ind w:left="0" w:firstLine="709"/>
        <w:jc w:val="both"/>
        <w:rPr>
          <w:rFonts w:cs="Times New Roman"/>
          <w:sz w:val="27"/>
          <w:szCs w:val="27"/>
          <w:lang w:val="nl-NL"/>
        </w:rPr>
      </w:pPr>
      <w:r w:rsidRPr="00D43AAD">
        <w:rPr>
          <w:rFonts w:cs="Times New Roman"/>
          <w:sz w:val="27"/>
          <w:szCs w:val="27"/>
          <w:lang w:val="nl-NL"/>
        </w:rPr>
        <w:t>Mỗi Trung tâm nghề cá lớn được hình thành cơ bản sẽ bao gồm 3 thành phần chính sau:</w:t>
      </w:r>
    </w:p>
    <w:p w:rsidR="00323F5C" w:rsidRPr="00D43AAD" w:rsidRDefault="00A81841" w:rsidP="00323F5C">
      <w:pPr>
        <w:widowControl w:val="0"/>
        <w:spacing w:line="240" w:lineRule="auto"/>
        <w:ind w:left="0" w:firstLine="709"/>
        <w:jc w:val="both"/>
        <w:rPr>
          <w:rFonts w:cs="Times New Roman"/>
          <w:sz w:val="27"/>
          <w:szCs w:val="27"/>
          <w:lang w:val="nl-NL"/>
        </w:rPr>
      </w:pPr>
      <w:r>
        <w:rPr>
          <w:rFonts w:cs="Times New Roman"/>
          <w:i/>
          <w:sz w:val="27"/>
          <w:szCs w:val="27"/>
          <w:lang w:val="nl-NL"/>
        </w:rPr>
        <w:t xml:space="preserve">- </w:t>
      </w:r>
      <w:r w:rsidR="00323F5C" w:rsidRPr="00D43AAD">
        <w:rPr>
          <w:rFonts w:cs="Times New Roman"/>
          <w:sz w:val="27"/>
          <w:szCs w:val="27"/>
          <w:lang w:val="nl-NL"/>
        </w:rPr>
        <w:t>Cảng cá động lực.</w:t>
      </w:r>
    </w:p>
    <w:p w:rsidR="00323F5C" w:rsidRPr="00D43AAD" w:rsidRDefault="00A81841" w:rsidP="00323F5C">
      <w:pPr>
        <w:widowControl w:val="0"/>
        <w:spacing w:line="240" w:lineRule="auto"/>
        <w:ind w:left="0" w:firstLine="709"/>
        <w:jc w:val="both"/>
        <w:rPr>
          <w:rFonts w:cs="Times New Roman"/>
          <w:sz w:val="27"/>
          <w:szCs w:val="27"/>
          <w:lang w:val="nl-NL"/>
        </w:rPr>
      </w:pPr>
      <w:r>
        <w:rPr>
          <w:rFonts w:cs="Times New Roman"/>
          <w:i/>
          <w:sz w:val="27"/>
          <w:szCs w:val="27"/>
          <w:lang w:val="nl-NL"/>
        </w:rPr>
        <w:t xml:space="preserve">- </w:t>
      </w:r>
      <w:r w:rsidR="00323F5C" w:rsidRPr="00D43AAD">
        <w:rPr>
          <w:rFonts w:cs="Times New Roman"/>
          <w:sz w:val="27"/>
          <w:szCs w:val="27"/>
          <w:lang w:val="nl-NL"/>
        </w:rPr>
        <w:t>Các khu chức năng đặc thù.</w:t>
      </w:r>
    </w:p>
    <w:p w:rsidR="00323F5C" w:rsidRPr="00D43AAD" w:rsidRDefault="00A81841" w:rsidP="00323F5C">
      <w:pPr>
        <w:widowControl w:val="0"/>
        <w:spacing w:line="240" w:lineRule="auto"/>
        <w:ind w:left="0" w:firstLine="709"/>
        <w:jc w:val="both"/>
        <w:rPr>
          <w:rFonts w:cs="Times New Roman"/>
          <w:sz w:val="27"/>
          <w:szCs w:val="27"/>
          <w:shd w:val="clear" w:color="auto" w:fill="FFFFFF"/>
          <w:lang w:val="nl-NL"/>
        </w:rPr>
      </w:pPr>
      <w:r>
        <w:rPr>
          <w:rFonts w:cs="Times New Roman"/>
          <w:i/>
          <w:sz w:val="27"/>
          <w:szCs w:val="27"/>
          <w:lang w:val="nl-NL"/>
        </w:rPr>
        <w:t xml:space="preserve">- </w:t>
      </w:r>
      <w:r w:rsidR="00323F5C" w:rsidRPr="00D43AAD">
        <w:rPr>
          <w:rFonts w:cs="Times New Roman"/>
          <w:sz w:val="27"/>
          <w:szCs w:val="27"/>
          <w:shd w:val="clear" w:color="auto" w:fill="FFFFFF"/>
          <w:lang w:val="nl-NL"/>
        </w:rPr>
        <w:t>Các cơ sở chuyên ngành: cơ sở đào tạo, nghiên cứu, tài chính, ngân hàng, trung tâm hội chợ triển lãm ...</w:t>
      </w:r>
    </w:p>
    <w:p w:rsidR="00323F5C" w:rsidRPr="00D43AAD" w:rsidRDefault="00323F5C" w:rsidP="00323F5C">
      <w:pPr>
        <w:widowControl w:val="0"/>
        <w:spacing w:before="240" w:line="240" w:lineRule="auto"/>
        <w:ind w:left="0" w:firstLine="720"/>
        <w:jc w:val="both"/>
        <w:rPr>
          <w:rFonts w:cs="Times New Roman"/>
          <w:b/>
          <w:caps/>
          <w:noProof/>
          <w:sz w:val="27"/>
          <w:szCs w:val="27"/>
          <w:lang w:val="nl-NL"/>
        </w:rPr>
      </w:pPr>
      <w:r w:rsidRPr="00D43AAD">
        <w:rPr>
          <w:rFonts w:eastAsia="Times New Roman" w:cs="Times New Roman"/>
          <w:b/>
          <w:sz w:val="27"/>
          <w:szCs w:val="27"/>
        </w:rPr>
        <w:t>III</w:t>
      </w:r>
      <w:r w:rsidRPr="00D43AAD">
        <w:rPr>
          <w:rFonts w:cs="Times New Roman"/>
          <w:b/>
          <w:sz w:val="27"/>
          <w:szCs w:val="27"/>
        </w:rPr>
        <w:t xml:space="preserve">. </w:t>
      </w:r>
      <w:r w:rsidRPr="00D43AAD">
        <w:rPr>
          <w:rFonts w:cs="Times New Roman"/>
          <w:b/>
          <w:caps/>
          <w:noProof/>
          <w:sz w:val="27"/>
          <w:szCs w:val="27"/>
          <w:lang w:val="nl-NL"/>
        </w:rPr>
        <w:t>C</w:t>
      </w:r>
      <w:r w:rsidR="00D43AAD" w:rsidRPr="00D43AAD">
        <w:rPr>
          <w:rFonts w:cs="Times New Roman"/>
          <w:b/>
          <w:caps/>
          <w:noProof/>
          <w:sz w:val="27"/>
          <w:szCs w:val="27"/>
          <w:lang w:val="nl-NL"/>
        </w:rPr>
        <w:t>ÁC C</w:t>
      </w:r>
      <w:r w:rsidRPr="00D43AAD">
        <w:rPr>
          <w:rFonts w:cs="Times New Roman"/>
          <w:b/>
          <w:caps/>
          <w:noProof/>
          <w:sz w:val="27"/>
          <w:szCs w:val="27"/>
          <w:lang w:val="nl-NL"/>
        </w:rPr>
        <w:t>hính sách đầu tư ƯU ĐÃI đối với cảng cá động lực thuộc Trung tâm nghề cá lớn</w:t>
      </w:r>
    </w:p>
    <w:p w:rsidR="00323F5C" w:rsidRPr="00D43AAD" w:rsidRDefault="00D43AAD" w:rsidP="00323F5C">
      <w:pPr>
        <w:pStyle w:val="NormalWeb"/>
        <w:widowControl w:val="0"/>
        <w:spacing w:before="240" w:beforeAutospacing="0" w:after="0" w:afterAutospacing="0"/>
        <w:ind w:firstLine="720"/>
        <w:jc w:val="both"/>
        <w:rPr>
          <w:noProof/>
          <w:sz w:val="27"/>
          <w:szCs w:val="27"/>
          <w:lang w:val="nl-NL"/>
        </w:rPr>
      </w:pPr>
      <w:r w:rsidRPr="00D43AAD">
        <w:rPr>
          <w:b/>
          <w:noProof/>
          <w:sz w:val="27"/>
          <w:szCs w:val="27"/>
          <w:lang w:val="nl-NL"/>
        </w:rPr>
        <w:t>1</w:t>
      </w:r>
      <w:r w:rsidR="00323F5C" w:rsidRPr="00D43AAD">
        <w:rPr>
          <w:b/>
          <w:noProof/>
          <w:sz w:val="27"/>
          <w:szCs w:val="27"/>
          <w:lang w:val="nl-NL"/>
        </w:rPr>
        <w:t>. Nghị định số 67/2014/NĐ-CP ngày 07/7/2014</w:t>
      </w:r>
      <w:r w:rsidR="00323F5C" w:rsidRPr="00D43AAD">
        <w:rPr>
          <w:noProof/>
          <w:sz w:val="27"/>
          <w:szCs w:val="27"/>
          <w:lang w:val="nl-NL"/>
        </w:rPr>
        <w:t xml:space="preserve"> của Chính phủ về một số chính sách phát triển thủy sản và Nghị định số 17/2018/NĐ-CP của Chính phủ về sửa đổi, bổ sung một số điều của Nghị định số </w:t>
      </w:r>
      <w:hyperlink r:id="rId8" w:tgtFrame="_blank" w:tooltip="Nghị định 67/2014/NĐ-CP" w:history="1">
        <w:r w:rsidR="00323F5C" w:rsidRPr="00D43AAD">
          <w:rPr>
            <w:noProof/>
            <w:sz w:val="27"/>
            <w:szCs w:val="27"/>
            <w:lang w:val="nl-NL"/>
          </w:rPr>
          <w:t>67/2014/NĐ-CP</w:t>
        </w:r>
      </w:hyperlink>
      <w:r w:rsidR="00323F5C" w:rsidRPr="00D43AAD">
        <w:rPr>
          <w:noProof/>
          <w:sz w:val="27"/>
          <w:szCs w:val="27"/>
          <w:lang w:val="nl-NL"/>
        </w:rPr>
        <w:t>:</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xml:space="preserve">a) </w:t>
      </w:r>
      <w:r w:rsidRPr="00D43AAD">
        <w:rPr>
          <w:rFonts w:cs="Times New Roman"/>
          <w:sz w:val="27"/>
          <w:szCs w:val="27"/>
          <w:lang w:val="vi-VN"/>
        </w:rPr>
        <w:t xml:space="preserve">Ngân sách trung ương đầu tư 100% kinh phí xây dựng các hạng mục thiết yếu của cảng cá loại I, khu neo đậu tránh trú bão cấp vùng (bao gồm cầu cảng; kè bờ, kè chắn sóng, chắn cát; nạo vét luồng ra vào cảng, vùng nước neo đậu tàu; công trình neo buộc tàu; hệ thống xử lý nước thải; nhà phân loại; nhà điều hành; sân và </w:t>
      </w:r>
      <w:r w:rsidRPr="00D43AAD">
        <w:rPr>
          <w:rFonts w:cs="Times New Roman"/>
          <w:sz w:val="27"/>
          <w:szCs w:val="27"/>
          <w:lang w:val="vi-VN"/>
        </w:rPr>
        <w:lastRenderedPageBreak/>
        <w:t>đường nội bộ; hệ thống đèn chiếu sáng; hệ thống phao tiêu, báo hiệu, đèn tín hiệu; hệ thống thông tin liên lạc chuyên dùng) và đầu tư xây dựng 05 Trung tâm nghề cá lớn (cảng cá động lực).</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b) Ngân sách trung ương đầu tư 100% tổng mức đầu tư (kể cả giải phóng mặt bằng, các hạng mục hạ tầng thiết yếu và các hạng mục khác) đối với các tuyến đảo, bao gồm các dự án cảng cá (cảng loại I, loại II) và khu neo đậu tránh trú bão thuộc tuyến đảo.</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xml:space="preserve">c) </w:t>
      </w:r>
      <w:r w:rsidRPr="00D43AAD">
        <w:rPr>
          <w:rFonts w:cs="Times New Roman"/>
          <w:sz w:val="27"/>
          <w:szCs w:val="27"/>
          <w:lang w:val="vi-VN"/>
        </w:rPr>
        <w:t>Ngân sách trung ương đầu tư 100% kinh phí xây dựng các dự án do Bộ, ngành trung ương quản lý đối với các hạng mục hạ tầng đầu mối vùng nuôi trồng thủy sản tập trung; vùng sản xuất giống tập trung bao gồm: Hệ thống cấp thoát nước (ao, bể chứa, cống, kênh, đường ống cấp, tiêu nước, trạm bơm), đê bao, kè, đường giao thông, hệ thống điện, công trình xử lý nước thải chung; nâng cấp cơ sở hạ tầng các Trung tâm giống thủy sản quốc gia, Trung tâm giống thủy sản cấp vùng; Trung tâm quan trắc cảnh báo môi trường nuôi trồng thủy sản, Trung tâm khảo nghiệm, kiểm nghiệm, kiểm định nuôi trồng thủy sản cấp trung ương và cấp vùng.”</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d) Ngân sách trung ương đầu tư 100% kinh phí xây dựng hạ tầng vùng nuôi trồng thủy sản tập trung trên biển bao gồm hệ thống phao tiêu, đèn báo ranh giới khu vực nuôi, hệ thống neo lồng bè.</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đ) Đối với kinh phí đền bù giải phóng mặt bằng các dự án đầu tư thủy sản nêu trên do ngân sách địa phương đảm bảo, kể cả các dự án của Trung ương tại địa phương.</w:t>
      </w:r>
    </w:p>
    <w:p w:rsidR="00D43AAD" w:rsidRPr="00D43AAD" w:rsidRDefault="00D43AAD" w:rsidP="00D43AAD">
      <w:pPr>
        <w:widowControl w:val="0"/>
        <w:spacing w:before="240" w:line="240" w:lineRule="auto"/>
        <w:ind w:left="0" w:firstLine="709"/>
        <w:jc w:val="both"/>
        <w:rPr>
          <w:rFonts w:cs="Times New Roman"/>
          <w:sz w:val="27"/>
          <w:szCs w:val="27"/>
          <w:shd w:val="clear" w:color="auto" w:fill="FFFFFF"/>
          <w:lang w:val="vi-VN"/>
        </w:rPr>
      </w:pPr>
      <w:r w:rsidRPr="00D43AAD">
        <w:rPr>
          <w:rFonts w:cs="Times New Roman"/>
          <w:b/>
          <w:noProof/>
          <w:sz w:val="27"/>
          <w:szCs w:val="27"/>
          <w:lang w:val="nl-NL"/>
        </w:rPr>
        <w:t xml:space="preserve">2. </w:t>
      </w:r>
      <w:r w:rsidRPr="00D43AAD">
        <w:rPr>
          <w:rFonts w:cs="Times New Roman"/>
          <w:b/>
          <w:sz w:val="27"/>
          <w:szCs w:val="27"/>
          <w:shd w:val="clear" w:color="auto" w:fill="FFFFFF"/>
          <w:lang w:val="vi-VN"/>
        </w:rPr>
        <w:t>Quyết định số 1976/QĐ-TTg ngày 12/11/2015</w:t>
      </w:r>
      <w:r w:rsidRPr="00D43AAD">
        <w:rPr>
          <w:rFonts w:cs="Times New Roman"/>
          <w:sz w:val="27"/>
          <w:szCs w:val="27"/>
          <w:shd w:val="clear" w:color="auto" w:fill="FFFFFF"/>
          <w:lang w:val="vi-VN"/>
        </w:rPr>
        <w:t xml:space="preserve"> và Quyết định số 887/QĐ-TTg ngày 17/6/2017 của Thủ tướng Chính phủ phê duyệt Quy hoạch hệ thống cảng cá và khu neo đậu tránh trú bão cho tàu cá đến năm 2020, định hướng đến năm 2030:</w:t>
      </w:r>
      <w:r w:rsidRPr="00D43AAD">
        <w:rPr>
          <w:rFonts w:cs="Times New Roman"/>
          <w:sz w:val="27"/>
          <w:szCs w:val="27"/>
          <w:shd w:val="clear" w:color="auto" w:fill="FFFFFF"/>
        </w:rPr>
        <w:t xml:space="preserve"> </w:t>
      </w:r>
      <w:r w:rsidRPr="00D43AAD">
        <w:rPr>
          <w:rFonts w:cs="Times New Roman"/>
          <w:sz w:val="27"/>
          <w:szCs w:val="27"/>
          <w:shd w:val="clear" w:color="auto" w:fill="FFFFFF"/>
          <w:lang w:val="vi-VN"/>
        </w:rPr>
        <w:t>Đối với cảng cá nằm trong Trung tâm nghề cá lớn, ngân sách trung ương hỗ trợ có mục tiêu để thực hiện đầu tư đồng bộ các hạng mục gồm: Cầu cảng; kè bờ, kè chắn sóng, kè chắn cát; nạo vét luồng ra vào cảng, vùng nước neo đậu tàu; công trình neo buộc tàu; hệ thống phao tiêu, báo hiệu, đèn tín hiệu; hệ thống thông tin liên lạc chuyên dùng; hệ thống công trình hạ tầng kỹ thuật; hệ thống cấp điện, chiếu sáng; nhà điều hành; nhà phân loại và mua bán thủy sản; hệ thống cấp, thoát nước và xử lý chất thải.</w:t>
      </w:r>
    </w:p>
    <w:p w:rsidR="00323F5C" w:rsidRPr="00D43AAD" w:rsidRDefault="00D43AAD" w:rsidP="006F5910">
      <w:pPr>
        <w:widowControl w:val="0"/>
        <w:shd w:val="clear" w:color="auto" w:fill="FFFFFF"/>
        <w:spacing w:before="240" w:line="240" w:lineRule="auto"/>
        <w:ind w:left="0" w:firstLine="709"/>
        <w:jc w:val="both"/>
        <w:rPr>
          <w:rFonts w:cs="Times New Roman"/>
          <w:sz w:val="27"/>
          <w:szCs w:val="27"/>
        </w:rPr>
      </w:pPr>
      <w:r w:rsidRPr="00D43AAD">
        <w:rPr>
          <w:rFonts w:cs="Times New Roman"/>
          <w:b/>
          <w:sz w:val="27"/>
          <w:szCs w:val="27"/>
        </w:rPr>
        <w:t>3</w:t>
      </w:r>
      <w:r w:rsidR="00323F5C" w:rsidRPr="00D43AAD">
        <w:rPr>
          <w:rFonts w:cs="Times New Roman"/>
          <w:b/>
          <w:sz w:val="27"/>
          <w:szCs w:val="27"/>
        </w:rPr>
        <w:t xml:space="preserve">. </w:t>
      </w:r>
      <w:r w:rsidR="00323F5C" w:rsidRPr="00D43AAD">
        <w:rPr>
          <w:rFonts w:cs="Times New Roman"/>
          <w:b/>
          <w:noProof/>
          <w:sz w:val="27"/>
          <w:szCs w:val="27"/>
          <w:lang w:val="nl-NL"/>
        </w:rPr>
        <w:t xml:space="preserve">Nghị định số 57/2018/NĐ-CP ngày 17/4/2017 </w:t>
      </w:r>
      <w:r w:rsidR="00323F5C" w:rsidRPr="00D43AAD">
        <w:rPr>
          <w:rFonts w:cs="Times New Roman"/>
          <w:noProof/>
          <w:sz w:val="27"/>
          <w:szCs w:val="27"/>
          <w:lang w:val="nl-NL"/>
        </w:rPr>
        <w:t xml:space="preserve">của Chính phủ về cơ chế, chính sách khuyến khích doanh nghiệp đầu tư vào nông nghiệp, nông thôn </w:t>
      </w:r>
      <w:r w:rsidR="00323F5C" w:rsidRPr="00D43AAD">
        <w:rPr>
          <w:rFonts w:cs="Times New Roman"/>
          <w:i/>
          <w:sz w:val="27"/>
          <w:szCs w:val="27"/>
        </w:rPr>
        <w:t>(Điều 13, NĐ57/2018/NĐ-CP ngày 17/4/2018):</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w:t>
      </w:r>
      <w:r w:rsidRPr="00D43AAD">
        <w:rPr>
          <w:rFonts w:cs="Times New Roman"/>
          <w:sz w:val="27"/>
          <w:szCs w:val="27"/>
          <w:lang w:val="vi-VN"/>
        </w:rPr>
        <w:t xml:space="preserve"> Doanh nghiệp có dự án nuôi trồng thủy sản có quy mô tối thiểu 05 ha trở lên được hỗ trợ 200 triệu đồng/ha để xây dựng hạ tầng, cấp nước, thoát nước, xử lý môi trường. Diện tích nuôi tăng lên mức hỗ trợ được tăng lên tương ứng. Mức hỗ trợ không quá 10 tỷ đồng/dự án.</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w:t>
      </w:r>
      <w:r w:rsidRPr="00D43AAD">
        <w:rPr>
          <w:rFonts w:cs="Times New Roman"/>
          <w:sz w:val="27"/>
          <w:szCs w:val="27"/>
          <w:lang w:val="vi-VN"/>
        </w:rPr>
        <w:t xml:space="preserve"> Doanh nghiệp có dự án xây dựng bến cảng phục vụ vận chuyển sản phẩm nông lâm thủy sản, khu neo đậu tàu thuyền, hệ thống tưới tiên tiến tiết kiệm nước, công trình thủy lợi làm dịch vụ tưới tiêu cho sản xuất nông nghiệp được hỗ trợ 50% kinh phí đầu tư theo dự án được cấp có thẩm quyền phê duyệt. Mức hỗ trợ không quá 20 tỷ đồng/dự án.</w:t>
      </w:r>
    </w:p>
    <w:p w:rsidR="00323F5C" w:rsidRPr="00D43AAD" w:rsidRDefault="006F5910" w:rsidP="00323F5C">
      <w:pPr>
        <w:widowControl w:val="0"/>
        <w:spacing w:before="240" w:line="240" w:lineRule="auto"/>
        <w:ind w:left="0" w:firstLine="709"/>
        <w:jc w:val="both"/>
        <w:rPr>
          <w:rFonts w:cs="Times New Roman"/>
          <w:noProof/>
          <w:sz w:val="27"/>
          <w:szCs w:val="27"/>
          <w:lang w:val="nl-NL"/>
        </w:rPr>
      </w:pPr>
      <w:r>
        <w:rPr>
          <w:rFonts w:cs="Times New Roman"/>
          <w:b/>
          <w:noProof/>
          <w:sz w:val="27"/>
          <w:szCs w:val="27"/>
          <w:lang w:val="nl-NL"/>
        </w:rPr>
        <w:lastRenderedPageBreak/>
        <w:t>4</w:t>
      </w:r>
      <w:r w:rsidR="00323F5C" w:rsidRPr="00D43AAD">
        <w:rPr>
          <w:rFonts w:cs="Times New Roman"/>
          <w:b/>
          <w:noProof/>
          <w:sz w:val="27"/>
          <w:szCs w:val="27"/>
          <w:lang w:val="nl-NL"/>
        </w:rPr>
        <w:t>. Nghị định 63/2018/NĐ-CP ngày 04/5/2018</w:t>
      </w:r>
      <w:r w:rsidR="00323F5C" w:rsidRPr="00D43AAD">
        <w:rPr>
          <w:rFonts w:cs="Times New Roman"/>
          <w:noProof/>
          <w:sz w:val="27"/>
          <w:szCs w:val="27"/>
          <w:lang w:val="nl-NL"/>
        </w:rPr>
        <w:t xml:space="preserve"> của Chính phủ về đầu tư theo hình thức đối tác công tư </w:t>
      </w:r>
      <w:r w:rsidR="00323F5C" w:rsidRPr="00D43AAD">
        <w:rPr>
          <w:rFonts w:cs="Times New Roman"/>
          <w:i/>
          <w:noProof/>
          <w:sz w:val="27"/>
          <w:szCs w:val="27"/>
          <w:lang w:val="nl-NL"/>
        </w:rPr>
        <w:t>(Điều 59 - Một số ưu đãi trong đầu tư dự án PPP):</w:t>
      </w:r>
    </w:p>
    <w:p w:rsidR="00323F5C" w:rsidRPr="00D43AAD" w:rsidRDefault="00323F5C" w:rsidP="00323F5C">
      <w:pPr>
        <w:widowControl w:val="0"/>
        <w:spacing w:line="240" w:lineRule="auto"/>
        <w:ind w:left="0" w:firstLine="709"/>
        <w:jc w:val="both"/>
        <w:rPr>
          <w:rFonts w:cs="Times New Roman"/>
          <w:sz w:val="27"/>
          <w:szCs w:val="27"/>
        </w:rPr>
      </w:pPr>
      <w:r w:rsidRPr="00D43AAD">
        <w:rPr>
          <w:rFonts w:cs="Times New Roman"/>
          <w:noProof/>
          <w:sz w:val="27"/>
          <w:szCs w:val="27"/>
          <w:lang w:val="nl-NL"/>
        </w:rPr>
        <w:t>a) Nhà đầu tư, doanh nghiệp dự án được hưởng các ưu đãi về thuế thu nhập</w:t>
      </w:r>
      <w:r w:rsidRPr="00D43AAD">
        <w:rPr>
          <w:rFonts w:cs="Times New Roman"/>
          <w:sz w:val="27"/>
          <w:szCs w:val="27"/>
        </w:rPr>
        <w:t xml:space="preserve"> doanh nghiệp theo quy định của pháp luật về thuế thu nhập doanh nghiệp.</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b) Hàng hóa nhập khẩu để thực hiện dự án được hưởng ưu đãi theo quy định của pháp luật về thuế xuất khẩu, thuế nhập khẩu.</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c) Nhà đầu tư, doanh nghiệp dự án được miễn hoặc giảm tiền sử dụng đất đối với diện tích đất được Nhà nước giao hoặc được miễn hoặc được giảm tiền thuê đất trong thời gian thực hiện dự án phù hợp với quy định của pháp luật về đất đai.</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d) Nhà đầu tư, doanh nghiệp dự án được hưởng các ưu đãi khác theo quy định của pháp luật.</w:t>
      </w:r>
    </w:p>
    <w:p w:rsidR="00323F5C" w:rsidRPr="00D43AAD" w:rsidRDefault="006F5910" w:rsidP="00323F5C">
      <w:pPr>
        <w:widowControl w:val="0"/>
        <w:spacing w:before="240" w:line="240" w:lineRule="auto"/>
        <w:ind w:left="0" w:firstLine="709"/>
        <w:jc w:val="both"/>
        <w:rPr>
          <w:rFonts w:cs="Times New Roman"/>
          <w:noProof/>
          <w:sz w:val="27"/>
          <w:szCs w:val="27"/>
          <w:lang w:val="nl-NL"/>
        </w:rPr>
      </w:pPr>
      <w:r>
        <w:rPr>
          <w:rFonts w:cs="Times New Roman"/>
          <w:b/>
          <w:noProof/>
          <w:sz w:val="27"/>
          <w:szCs w:val="27"/>
          <w:lang w:val="nl-NL"/>
        </w:rPr>
        <w:t>5</w:t>
      </w:r>
      <w:r w:rsidR="00323F5C" w:rsidRPr="00D43AAD">
        <w:rPr>
          <w:rFonts w:cs="Times New Roman"/>
          <w:b/>
          <w:noProof/>
          <w:sz w:val="27"/>
          <w:szCs w:val="27"/>
          <w:lang w:val="nl-NL"/>
        </w:rPr>
        <w:t>. Nghị định 32/2017/NĐ-CP ngày 31/3/2017</w:t>
      </w:r>
      <w:r w:rsidR="00323F5C" w:rsidRPr="00D43AAD">
        <w:rPr>
          <w:rFonts w:cs="Times New Roman"/>
          <w:noProof/>
          <w:sz w:val="27"/>
          <w:szCs w:val="27"/>
          <w:lang w:val="nl-NL"/>
        </w:rPr>
        <w:t xml:space="preserve"> của Chính phủ về tín dụng đầu tư của nhà nước:</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Danh mục dự án hạ tầng ngành thủy sản được vay vốn tín dụng đầu tư của nhà nước tại Mục II, Phụ lục kèm theo Nghị định 32/2017/NĐ-CP ngày 31/3/2017</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Điều kiện, mức vốn, thời hạn, mức lãi suất … thực hiện theo quy định tại Chương II, Nghị định 32/2017/NĐ-CP ngày 31/3/2017.</w:t>
      </w:r>
    </w:p>
    <w:p w:rsidR="00323F5C" w:rsidRPr="00D43AAD" w:rsidRDefault="006F5910" w:rsidP="00323F5C">
      <w:pPr>
        <w:widowControl w:val="0"/>
        <w:shd w:val="clear" w:color="auto" w:fill="FFFFFF"/>
        <w:spacing w:before="240" w:line="240" w:lineRule="auto"/>
        <w:ind w:left="0" w:firstLine="709"/>
        <w:jc w:val="both"/>
        <w:rPr>
          <w:rFonts w:cs="Times New Roman"/>
          <w:sz w:val="27"/>
          <w:szCs w:val="27"/>
        </w:rPr>
      </w:pPr>
      <w:r>
        <w:rPr>
          <w:rFonts w:cs="Times New Roman"/>
          <w:b/>
          <w:sz w:val="27"/>
          <w:szCs w:val="27"/>
        </w:rPr>
        <w:t>6</w:t>
      </w:r>
      <w:r w:rsidR="00323F5C" w:rsidRPr="00D43AAD">
        <w:rPr>
          <w:rFonts w:cs="Times New Roman"/>
          <w:b/>
          <w:sz w:val="27"/>
          <w:szCs w:val="27"/>
        </w:rPr>
        <w:t>. Quyết định số 1434/QĐ-TTg ngày 22/7/2017</w:t>
      </w:r>
      <w:r w:rsidR="00323F5C" w:rsidRPr="00D43AAD">
        <w:rPr>
          <w:rFonts w:cs="Times New Roman"/>
          <w:sz w:val="27"/>
          <w:szCs w:val="27"/>
        </w:rPr>
        <w:t xml:space="preserve"> của Thủ tướng Chính phủ phê duyệt Chương trình mục tiêu Phát triển kinh tế thủy sản bền vững:</w:t>
      </w:r>
    </w:p>
    <w:p w:rsidR="00323F5C" w:rsidRPr="00D43AAD" w:rsidRDefault="00323F5C" w:rsidP="00323F5C">
      <w:pPr>
        <w:pStyle w:val="NormalWeb"/>
        <w:widowControl w:val="0"/>
        <w:shd w:val="clear" w:color="auto" w:fill="FFFFFF"/>
        <w:spacing w:before="120" w:beforeAutospacing="0" w:after="0" w:afterAutospacing="0"/>
        <w:ind w:firstLine="709"/>
        <w:jc w:val="both"/>
        <w:rPr>
          <w:sz w:val="27"/>
          <w:szCs w:val="27"/>
        </w:rPr>
      </w:pPr>
      <w:r w:rsidRPr="00D43AAD">
        <w:rPr>
          <w:sz w:val="27"/>
          <w:szCs w:val="27"/>
        </w:rPr>
        <w:t xml:space="preserve">a) </w:t>
      </w:r>
      <w:r w:rsidRPr="00D43AAD">
        <w:rPr>
          <w:sz w:val="27"/>
          <w:szCs w:val="27"/>
          <w:lang w:val="vi-VN"/>
        </w:rPr>
        <w:t xml:space="preserve">Tổng vốn thực hiện chương trình: </w:t>
      </w:r>
      <w:r w:rsidRPr="00D43AAD">
        <w:rPr>
          <w:b/>
          <w:sz w:val="27"/>
          <w:szCs w:val="27"/>
          <w:lang w:val="vi-VN"/>
        </w:rPr>
        <w:t>49.248 tỷ đồng</w:t>
      </w:r>
      <w:r w:rsidRPr="00D43AAD">
        <w:rPr>
          <w:sz w:val="27"/>
          <w:szCs w:val="27"/>
          <w:lang w:val="vi-VN"/>
        </w:rPr>
        <w:t>. Trong đó:</w:t>
      </w:r>
    </w:p>
    <w:p w:rsidR="00323F5C" w:rsidRPr="00D43AAD" w:rsidRDefault="00323F5C" w:rsidP="00323F5C">
      <w:pPr>
        <w:pStyle w:val="NormalWeb"/>
        <w:widowControl w:val="0"/>
        <w:shd w:val="clear" w:color="auto" w:fill="FFFFFF"/>
        <w:spacing w:before="120" w:beforeAutospacing="0" w:after="0" w:afterAutospacing="0"/>
        <w:ind w:firstLine="709"/>
        <w:jc w:val="both"/>
        <w:rPr>
          <w:sz w:val="27"/>
          <w:szCs w:val="27"/>
        </w:rPr>
      </w:pPr>
      <w:r w:rsidRPr="00D43AAD">
        <w:rPr>
          <w:sz w:val="27"/>
          <w:szCs w:val="27"/>
        </w:rPr>
        <w:t>-</w:t>
      </w:r>
      <w:r w:rsidRPr="00D43AAD">
        <w:rPr>
          <w:sz w:val="27"/>
          <w:szCs w:val="27"/>
          <w:lang w:val="vi-VN"/>
        </w:rPr>
        <w:t xml:space="preserve"> Vốn đầu tư phát triển từ ngân sách trung ương: </w:t>
      </w:r>
      <w:r w:rsidRPr="00D43AAD">
        <w:rPr>
          <w:b/>
          <w:sz w:val="27"/>
          <w:szCs w:val="27"/>
          <w:lang w:val="vi-VN"/>
        </w:rPr>
        <w:t>4.300 tỷ đồng;</w:t>
      </w:r>
    </w:p>
    <w:p w:rsidR="00323F5C" w:rsidRPr="00D43AAD" w:rsidRDefault="00323F5C" w:rsidP="00323F5C">
      <w:pPr>
        <w:pStyle w:val="NormalWeb"/>
        <w:widowControl w:val="0"/>
        <w:shd w:val="clear" w:color="auto" w:fill="FFFFFF"/>
        <w:spacing w:before="120" w:beforeAutospacing="0" w:after="0" w:afterAutospacing="0"/>
        <w:ind w:firstLine="709"/>
        <w:jc w:val="both"/>
        <w:rPr>
          <w:sz w:val="27"/>
          <w:szCs w:val="27"/>
        </w:rPr>
      </w:pPr>
      <w:r w:rsidRPr="00D43AAD">
        <w:rPr>
          <w:sz w:val="27"/>
          <w:szCs w:val="27"/>
        </w:rPr>
        <w:t>-</w:t>
      </w:r>
      <w:r w:rsidRPr="00D43AAD">
        <w:rPr>
          <w:sz w:val="27"/>
          <w:szCs w:val="27"/>
          <w:lang w:val="vi-VN"/>
        </w:rPr>
        <w:t xml:space="preserve"> Vốn ODA: </w:t>
      </w:r>
      <w:r w:rsidRPr="00D43AAD">
        <w:rPr>
          <w:b/>
          <w:sz w:val="27"/>
          <w:szCs w:val="27"/>
          <w:lang w:val="vi-VN"/>
        </w:rPr>
        <w:t>1.600 tỷ đồng</w:t>
      </w:r>
      <w:r w:rsidRPr="00D43AAD">
        <w:rPr>
          <w:b/>
          <w:sz w:val="27"/>
          <w:szCs w:val="27"/>
        </w:rPr>
        <w:t>.</w:t>
      </w:r>
    </w:p>
    <w:p w:rsidR="00323F5C" w:rsidRPr="00D43AAD" w:rsidRDefault="00323F5C" w:rsidP="00323F5C">
      <w:pPr>
        <w:pStyle w:val="NormalWeb"/>
        <w:widowControl w:val="0"/>
        <w:shd w:val="clear" w:color="auto" w:fill="FFFFFF"/>
        <w:spacing w:before="120" w:beforeAutospacing="0" w:after="0" w:afterAutospacing="0"/>
        <w:ind w:firstLine="709"/>
        <w:jc w:val="both"/>
        <w:rPr>
          <w:sz w:val="27"/>
          <w:szCs w:val="27"/>
        </w:rPr>
      </w:pPr>
      <w:r w:rsidRPr="00D43AAD">
        <w:rPr>
          <w:sz w:val="27"/>
          <w:szCs w:val="27"/>
        </w:rPr>
        <w:t>-</w:t>
      </w:r>
      <w:r w:rsidRPr="00D43AAD">
        <w:rPr>
          <w:sz w:val="27"/>
          <w:szCs w:val="27"/>
          <w:lang w:val="vi-VN"/>
        </w:rPr>
        <w:t xml:space="preserve"> Vốn huy động h</w:t>
      </w:r>
      <w:r w:rsidRPr="00D43AAD">
        <w:rPr>
          <w:sz w:val="27"/>
          <w:szCs w:val="27"/>
        </w:rPr>
        <w:t>ợ</w:t>
      </w:r>
      <w:r w:rsidRPr="00D43AAD">
        <w:rPr>
          <w:sz w:val="27"/>
          <w:szCs w:val="27"/>
          <w:lang w:val="vi-VN"/>
        </w:rPr>
        <w:t xml:space="preserve">p pháp khác: </w:t>
      </w:r>
      <w:r w:rsidRPr="00D43AAD">
        <w:rPr>
          <w:b/>
          <w:sz w:val="27"/>
          <w:szCs w:val="27"/>
          <w:lang w:val="vi-VN"/>
        </w:rPr>
        <w:t>43.348 tỷ đồng.</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b) Mục tiêu cụ thể phấn đấu đến năm 2020:</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Chủ động sản xuất trong nước 100% giống các đối tượng nuôi thủy sản chủ lực; 100% giống tôm sú, tôm chân trắng, cá tra là giống sạch bệnh.</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- 100% diện tích nuôi tập trung thâm canh các đối tượng nuôi chủ lực đạt chứng nhận VietGAP hoặc chứng nhận tương đương (GlobalGAP, ASC. BAP).</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Công suất cảng cá tăng thêm khoảng 350.000 tấn hàng qua cảng/năm, công suất neo đậu tăng thêm khoảng 15.000 tàu.</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Tàu cá khai thác vùng khơi được cung cấp bản tin dự báo ngư trường. Bảo đảm hoạt động của lực lượng kiểm ngư thực hiện các nhiệm vụ thực thi pháp luật về thủy sản.</w:t>
      </w:r>
    </w:p>
    <w:p w:rsidR="00323F5C" w:rsidRPr="00D43AAD" w:rsidRDefault="006F5910" w:rsidP="00323F5C">
      <w:pPr>
        <w:widowControl w:val="0"/>
        <w:spacing w:before="240" w:line="240" w:lineRule="auto"/>
        <w:ind w:left="0" w:firstLine="709"/>
        <w:jc w:val="both"/>
        <w:rPr>
          <w:rFonts w:cs="Times New Roman"/>
          <w:sz w:val="27"/>
          <w:szCs w:val="27"/>
          <w:shd w:val="clear" w:color="auto" w:fill="FFFFFF"/>
          <w:lang w:val="vi-VN"/>
        </w:rPr>
      </w:pPr>
      <w:r>
        <w:rPr>
          <w:rFonts w:cs="Times New Roman"/>
          <w:b/>
          <w:noProof/>
          <w:sz w:val="27"/>
          <w:szCs w:val="27"/>
          <w:lang w:val="nl-NL"/>
        </w:rPr>
        <w:t>7</w:t>
      </w:r>
      <w:r w:rsidR="00323F5C" w:rsidRPr="00D43AAD">
        <w:rPr>
          <w:rFonts w:cs="Times New Roman"/>
          <w:b/>
          <w:noProof/>
          <w:sz w:val="27"/>
          <w:szCs w:val="27"/>
          <w:lang w:val="nl-NL"/>
        </w:rPr>
        <w:t xml:space="preserve">. </w:t>
      </w:r>
      <w:r w:rsidR="00323F5C" w:rsidRPr="00D43AAD">
        <w:rPr>
          <w:rFonts w:cs="Times New Roman"/>
          <w:b/>
          <w:sz w:val="27"/>
          <w:szCs w:val="27"/>
          <w:shd w:val="clear" w:color="auto" w:fill="FFFFFF"/>
          <w:lang w:val="vi-VN"/>
        </w:rPr>
        <w:t>Quyết định số 1976/QĐ-TTg ngày 12/11/2015</w:t>
      </w:r>
      <w:r w:rsidR="00323F5C" w:rsidRPr="00D43AAD">
        <w:rPr>
          <w:rFonts w:cs="Times New Roman"/>
          <w:sz w:val="27"/>
          <w:szCs w:val="27"/>
          <w:shd w:val="clear" w:color="auto" w:fill="FFFFFF"/>
          <w:lang w:val="vi-VN"/>
        </w:rPr>
        <w:t xml:space="preserve"> và Quyết định số 887/QĐ-TTg ngày 17/6/2017 của Thủ tướng Chính phủ phê duyệt Quy hoạch hệ thống cảng cá và khu neo đậu tránh trú bão cho tàu cá đến năm 2020, định hướng đến năm 2030:</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a) Nhà nước đầu tư xây dựng cơ sở hạ tầng thiết yếu của cảng cá và khu neo đậu tránh trú bão cho tàu cá.</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lastRenderedPageBreak/>
        <w:t xml:space="preserve">b) Tăng cường và tập trung vốn để đầu tư xây dựng, nhất là các cảng cá loại I, khu neo đậu tránh trú bão cho tàu cá cấp vùng tại các đảo có vị trí quan trọng, gần ngư trường trọng điểm và các cảng cá có khả năng kết hợp với khu neo đậu tránh trú bão cho tàu cá; nhanh chóng hình thành hệ thống cảng cá và khu neo đậu tránh trú bão cho tàu cá theo quy hoạch, tạo điều kiện thuận lợi cho khai thác thủy sản phát triển. </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c) Nhà nước khuyến khích, tạo điều kiện ưu đãi cho các tổ chức, cá nhân trong và ngoài nước đầu tư xây dựng, quản lý cơ sở hạ tầng cảng cá, khu neo đậu tránh trú bão cho tàu cá và các công trình phục vụ sản xuất, kinh doanh của cảng cá theo quy định của pháp luật.</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xml:space="preserve">d) Thực hiện việc thu phí tại cảng cá, tạo điều kiện cho các tổ chức, cá nhân quản lý cảng cá có nguồn kinh phí để duy trì hoạt động, sửa chữa, duy tu các công trình của cảng cá. </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 xml:space="preserve">e) Chú trọng áp dụng đầu tư theo hình thức đối tác công tư (PPP) để thu hút vốn đầu tư cảng cá loại I. Trong giai đoạn 2016 – 2020, tập trung vốn đầu tư 5 cảng cá loại I tại Trung tâm nghề cá lớn (cảng cá động lực). </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f) Đối với các cảng cá loại I, dành quỹ đất thích hợp để xây dựng trung tâm dịch vụ hậu cần tại cảng, kết nối thuận tiện với mạng lưới giao thông quốc gia, từng bước tạo thành mạng lưới kết cấu hạ tầng, dịch vụ hậu cần hiện đại.</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g) Áp dụng cơ chế chuyển nhượng quyền sử dụng đất các cảng cá nằm trong khu đô thị nhưng phải chuyển đổi mục đích sử dụng, di dời theo quy hoạch.</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h) Khuyến khích doanh nghiệp tham gia nạo vét, duy tu cảng cá và khu neo đậu tránh trú bão cho tàu cá không sử dụng ngân sách nhà nước tại những nơi có điều kiện phù hợp.</w:t>
      </w:r>
    </w:p>
    <w:p w:rsidR="00323F5C" w:rsidRPr="00D43AAD" w:rsidRDefault="00323F5C" w:rsidP="00323F5C">
      <w:pPr>
        <w:widowControl w:val="0"/>
        <w:shd w:val="clear" w:color="auto" w:fill="FFFFFF"/>
        <w:spacing w:line="240" w:lineRule="auto"/>
        <w:ind w:left="0" w:firstLine="709"/>
        <w:jc w:val="both"/>
        <w:rPr>
          <w:rFonts w:cs="Times New Roman"/>
          <w:sz w:val="27"/>
          <w:szCs w:val="27"/>
        </w:rPr>
      </w:pPr>
      <w:r w:rsidRPr="00D43AAD">
        <w:rPr>
          <w:rFonts w:cs="Times New Roman"/>
          <w:sz w:val="27"/>
          <w:szCs w:val="27"/>
        </w:rPr>
        <w:t>i) Áp dụng cơ chế cho thuê khai thác kết cấu hạ tầng cảng cá được xây dựng bằng nguồn vốn ngân sách theo quy định của pháp luật.</w:t>
      </w:r>
    </w:p>
    <w:p w:rsidR="0072666F" w:rsidRPr="00D43AAD" w:rsidRDefault="00323F5C" w:rsidP="0072666F">
      <w:pPr>
        <w:widowControl w:val="0"/>
        <w:spacing w:line="240" w:lineRule="auto"/>
        <w:ind w:left="0" w:firstLine="720"/>
        <w:jc w:val="both"/>
        <w:rPr>
          <w:rFonts w:cs="Times New Roman"/>
          <w:b/>
          <w:sz w:val="27"/>
          <w:szCs w:val="27"/>
        </w:rPr>
      </w:pPr>
      <w:r w:rsidRPr="00D43AAD">
        <w:rPr>
          <w:rFonts w:cs="Times New Roman"/>
          <w:b/>
          <w:sz w:val="27"/>
          <w:szCs w:val="27"/>
        </w:rPr>
        <w:t xml:space="preserve">IV. </w:t>
      </w:r>
      <w:r w:rsidR="00F617A1" w:rsidRPr="00D43AAD">
        <w:rPr>
          <w:rFonts w:cs="Times New Roman"/>
          <w:b/>
          <w:sz w:val="27"/>
          <w:szCs w:val="27"/>
        </w:rPr>
        <w:t>GIẢI PHÁP</w:t>
      </w:r>
      <w:r w:rsidR="0072666F" w:rsidRPr="00D43AAD">
        <w:rPr>
          <w:rFonts w:cs="Times New Roman"/>
          <w:b/>
          <w:sz w:val="27"/>
          <w:szCs w:val="27"/>
        </w:rPr>
        <w:t xml:space="preserve"> THU HÚT ĐẦU TƯ VÀO CÁC TRUNG TÂM NGHỀ CÁ LỚN</w:t>
      </w:r>
    </w:p>
    <w:p w:rsidR="00C546A8" w:rsidRPr="00D43AAD" w:rsidRDefault="00D6209D" w:rsidP="0072666F">
      <w:pPr>
        <w:widowControl w:val="0"/>
        <w:spacing w:line="240" w:lineRule="auto"/>
        <w:ind w:left="0" w:firstLine="720"/>
        <w:jc w:val="both"/>
        <w:rPr>
          <w:rFonts w:eastAsia="Times New Roman" w:cs="Times New Roman"/>
          <w:b/>
          <w:sz w:val="27"/>
          <w:szCs w:val="27"/>
          <w:shd w:val="clear" w:color="auto" w:fill="FFFFFF"/>
        </w:rPr>
      </w:pPr>
      <w:r w:rsidRPr="00D43AAD">
        <w:rPr>
          <w:rFonts w:cs="Times New Roman"/>
          <w:b/>
          <w:sz w:val="27"/>
          <w:szCs w:val="27"/>
        </w:rPr>
        <w:t xml:space="preserve">1. </w:t>
      </w:r>
      <w:r w:rsidR="00C546A8" w:rsidRPr="00D43AAD">
        <w:rPr>
          <w:rFonts w:cs="Times New Roman"/>
          <w:b/>
          <w:sz w:val="27"/>
          <w:szCs w:val="27"/>
        </w:rPr>
        <w:t>Đối với</w:t>
      </w:r>
      <w:r w:rsidR="00C546A8" w:rsidRPr="00D43AAD">
        <w:rPr>
          <w:rFonts w:eastAsia="Times New Roman" w:cs="Times New Roman"/>
          <w:b/>
          <w:sz w:val="27"/>
          <w:szCs w:val="27"/>
          <w:shd w:val="clear" w:color="auto" w:fill="FFFFFF"/>
        </w:rPr>
        <w:t xml:space="preserve"> hệ thống kế cấu hạ tầng </w:t>
      </w:r>
      <w:r w:rsidR="006F5910">
        <w:rPr>
          <w:rFonts w:eastAsia="Times New Roman" w:cs="Times New Roman"/>
          <w:b/>
          <w:sz w:val="27"/>
          <w:szCs w:val="27"/>
          <w:shd w:val="clear" w:color="auto" w:fill="FFFFFF"/>
        </w:rPr>
        <w:t>trong các cảng cá động lực</w:t>
      </w:r>
    </w:p>
    <w:p w:rsidR="00C546A8" w:rsidRPr="00D43AAD" w:rsidRDefault="00C546A8" w:rsidP="00B469C3">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 xml:space="preserve">a) Xã hội hóa kinh doanh, khai thác kết </w:t>
      </w:r>
      <w:r w:rsidR="00DC1508" w:rsidRPr="00D43AAD">
        <w:rPr>
          <w:rFonts w:eastAsia="Times New Roman" w:cs="Times New Roman"/>
          <w:sz w:val="27"/>
          <w:szCs w:val="27"/>
        </w:rPr>
        <w:t>cấu hạ tầng công trình thủy sản</w:t>
      </w:r>
      <w:r w:rsidR="00E456EE" w:rsidRPr="00D43AAD">
        <w:rPr>
          <w:rFonts w:eastAsia="Times New Roman" w:cs="Times New Roman"/>
          <w:sz w:val="27"/>
          <w:szCs w:val="27"/>
        </w:rPr>
        <w:t>:</w:t>
      </w:r>
    </w:p>
    <w:p w:rsidR="00C546A8" w:rsidRPr="00D43AAD" w:rsidRDefault="00C546A8" w:rsidP="00B469C3">
      <w:pPr>
        <w:widowControl w:val="0"/>
        <w:spacing w:line="240" w:lineRule="auto"/>
        <w:ind w:left="0" w:firstLine="709"/>
        <w:jc w:val="both"/>
        <w:rPr>
          <w:rFonts w:eastAsia="Times New Roman" w:cs="Times New Roman"/>
          <w:sz w:val="27"/>
          <w:szCs w:val="27"/>
        </w:rPr>
      </w:pPr>
      <w:r w:rsidRPr="00D43AAD">
        <w:rPr>
          <w:rFonts w:eastAsia="Times New Roman" w:cs="Times New Roman"/>
          <w:sz w:val="27"/>
          <w:szCs w:val="27"/>
        </w:rPr>
        <w:t xml:space="preserve">- Đối với cầu cảng, luồng, công trình neo đậu tàu, công trình cấp thoát, xử lý nước thải, hạ tầng khu sản xuất giống tập trung, trung tâm giống: </w:t>
      </w:r>
      <w:r w:rsidR="00E456EE" w:rsidRPr="00D43AAD">
        <w:rPr>
          <w:rFonts w:eastAsia="Times New Roman" w:cs="Times New Roman"/>
          <w:sz w:val="27"/>
          <w:szCs w:val="27"/>
        </w:rPr>
        <w:t>Ưu tiên k</w:t>
      </w:r>
      <w:r w:rsidRPr="00D43AAD">
        <w:rPr>
          <w:rFonts w:eastAsia="Times New Roman" w:cs="Times New Roman"/>
          <w:sz w:val="27"/>
          <w:szCs w:val="27"/>
        </w:rPr>
        <w:t>êu gọi nhà đầu tư đầu tư cải tạo, nâng cấp mở rộng để cùng khai thác, kinh doanh.</w:t>
      </w:r>
    </w:p>
    <w:p w:rsidR="00C546A8" w:rsidRPr="00D43AAD" w:rsidRDefault="00C546A8" w:rsidP="00B469C3">
      <w:pPr>
        <w:widowControl w:val="0"/>
        <w:spacing w:line="240" w:lineRule="auto"/>
        <w:ind w:left="0" w:firstLine="709"/>
        <w:jc w:val="both"/>
        <w:rPr>
          <w:rFonts w:eastAsia="Times New Roman" w:cs="Times New Roman"/>
          <w:sz w:val="27"/>
          <w:szCs w:val="27"/>
        </w:rPr>
      </w:pPr>
      <w:r w:rsidRPr="00D43AAD">
        <w:rPr>
          <w:rFonts w:eastAsia="Times New Roman" w:cs="Times New Roman"/>
          <w:sz w:val="27"/>
          <w:szCs w:val="27"/>
        </w:rPr>
        <w:t xml:space="preserve">- Đối với nhà phân loại sản phẩm, kho, bãi hàng, các khu dịch vụ hậu cần của các cảng cá, cơ sở kiểm nghiệm, kiểm định trong các khu sản xuất giống, vùng nuôi chuyên canh tập trung: </w:t>
      </w:r>
      <w:r w:rsidR="00E456EE" w:rsidRPr="00D43AAD">
        <w:rPr>
          <w:rFonts w:eastAsia="Times New Roman" w:cs="Times New Roman"/>
          <w:sz w:val="27"/>
          <w:szCs w:val="27"/>
        </w:rPr>
        <w:t>Ưu tiên kêu</w:t>
      </w:r>
      <w:r w:rsidRPr="00D43AAD">
        <w:rPr>
          <w:rFonts w:eastAsia="Times New Roman" w:cs="Times New Roman"/>
          <w:sz w:val="27"/>
          <w:szCs w:val="27"/>
        </w:rPr>
        <w:t xml:space="preserve"> gọi nhà đầu tư đầu</w:t>
      </w:r>
      <w:r w:rsidR="00E456EE" w:rsidRPr="00D43AAD">
        <w:rPr>
          <w:rFonts w:eastAsia="Times New Roman" w:cs="Times New Roman"/>
          <w:sz w:val="27"/>
          <w:szCs w:val="27"/>
        </w:rPr>
        <w:t xml:space="preserve"> tư cải tạo, nâng cấp, mở rộng và thực hiện </w:t>
      </w:r>
      <w:r w:rsidRPr="00D43AAD">
        <w:rPr>
          <w:rFonts w:eastAsia="Times New Roman" w:cs="Times New Roman"/>
          <w:sz w:val="27"/>
          <w:szCs w:val="27"/>
        </w:rPr>
        <w:t>kinh doanh, khai thác trong thời gian nhất định.</w:t>
      </w:r>
    </w:p>
    <w:p w:rsidR="00C546A8" w:rsidRPr="00D43AAD" w:rsidRDefault="00C546A8" w:rsidP="004956BE">
      <w:pPr>
        <w:widowControl w:val="0"/>
        <w:spacing w:before="100" w:line="240" w:lineRule="auto"/>
        <w:ind w:left="0" w:firstLine="709"/>
        <w:jc w:val="both"/>
        <w:rPr>
          <w:rFonts w:eastAsia="Times New Roman" w:cs="Times New Roman"/>
          <w:spacing w:val="-4"/>
          <w:sz w:val="27"/>
          <w:szCs w:val="27"/>
        </w:rPr>
      </w:pPr>
      <w:r w:rsidRPr="00D43AAD">
        <w:rPr>
          <w:rFonts w:eastAsia="Times New Roman" w:cs="Times New Roman"/>
          <w:spacing w:val="-4"/>
          <w:sz w:val="27"/>
          <w:szCs w:val="27"/>
        </w:rPr>
        <w:t xml:space="preserve">- </w:t>
      </w:r>
      <w:r w:rsidR="00E456EE" w:rsidRPr="00D43AAD">
        <w:rPr>
          <w:rFonts w:eastAsia="Times New Roman" w:cs="Times New Roman"/>
          <w:spacing w:val="-4"/>
          <w:sz w:val="27"/>
          <w:szCs w:val="27"/>
        </w:rPr>
        <w:t xml:space="preserve">Nhà đầu tư có thể tham gia đầu tư, khai thác trên </w:t>
      </w:r>
      <w:r w:rsidRPr="00D43AAD">
        <w:rPr>
          <w:rFonts w:eastAsia="Times New Roman" w:cs="Times New Roman"/>
          <w:spacing w:val="-4"/>
          <w:sz w:val="27"/>
          <w:szCs w:val="27"/>
        </w:rPr>
        <w:t>quỹ đất thuộ</w:t>
      </w:r>
      <w:r w:rsidR="00E456EE" w:rsidRPr="00D43AAD">
        <w:rPr>
          <w:rFonts w:eastAsia="Times New Roman" w:cs="Times New Roman"/>
          <w:spacing w:val="-4"/>
          <w:sz w:val="27"/>
          <w:szCs w:val="27"/>
        </w:rPr>
        <w:t>c công trình hạ tầng thủy sản: C</w:t>
      </w:r>
      <w:r w:rsidRPr="00D43AAD">
        <w:rPr>
          <w:rFonts w:eastAsia="Times New Roman" w:cs="Times New Roman"/>
          <w:spacing w:val="-4"/>
          <w:sz w:val="27"/>
          <w:szCs w:val="27"/>
        </w:rPr>
        <w:t>ảng cá, khu sản xuất giống thủy sản tập trung và diện tích mặt nước thuộc công trình hạ tầng thủy sản: luồng, vùng nước neo đậu của cảng cá, khu neo đậu tránh trú bão.</w:t>
      </w:r>
    </w:p>
    <w:p w:rsidR="00C546A8" w:rsidRPr="00D43AAD" w:rsidRDefault="00C546A8" w:rsidP="004956BE">
      <w:pPr>
        <w:widowControl w:val="0"/>
        <w:spacing w:before="100" w:line="240" w:lineRule="auto"/>
        <w:ind w:left="0" w:firstLine="709"/>
        <w:jc w:val="both"/>
        <w:rPr>
          <w:rFonts w:eastAsia="Times New Roman" w:cs="Times New Roman"/>
          <w:sz w:val="27"/>
          <w:szCs w:val="27"/>
        </w:rPr>
      </w:pPr>
      <w:r w:rsidRPr="00D43AAD">
        <w:rPr>
          <w:rFonts w:eastAsia="Times New Roman" w:cs="Times New Roman"/>
          <w:sz w:val="27"/>
          <w:szCs w:val="27"/>
        </w:rPr>
        <w:t xml:space="preserve">- Thực hiện chính sách giá, phí  phù hợp với cơ chế thị trường tại cảng cá, khu </w:t>
      </w:r>
      <w:r w:rsidRPr="00D43AAD">
        <w:rPr>
          <w:rFonts w:eastAsia="Times New Roman" w:cs="Times New Roman"/>
          <w:sz w:val="27"/>
          <w:szCs w:val="27"/>
        </w:rPr>
        <w:lastRenderedPageBreak/>
        <w:t>neo đậu tàu cá, vùng sản xuất giống, vùng nuôi thủy sản, tạo điều kiện cho các tổ chức, cá nhân quản lý cảng cá, vùng sản xuất giống… có nguồn kinh phí để duy trì hoạt động, sửa chữa, duy tu các công trình chia sẻ rủi ro với các nhà đầu tư và bảo đảm hiệu quả đầu tư.</w:t>
      </w:r>
    </w:p>
    <w:p w:rsidR="00C546A8" w:rsidRPr="00D43AAD" w:rsidRDefault="00E625E4" w:rsidP="004956BE">
      <w:pPr>
        <w:widowControl w:val="0"/>
        <w:spacing w:before="100" w:line="240" w:lineRule="auto"/>
        <w:ind w:left="0" w:firstLine="720"/>
        <w:jc w:val="both"/>
        <w:rPr>
          <w:rFonts w:eastAsia="Times New Roman" w:cs="Times New Roman"/>
          <w:sz w:val="27"/>
          <w:szCs w:val="27"/>
        </w:rPr>
      </w:pPr>
      <w:r w:rsidRPr="00D43AAD">
        <w:rPr>
          <w:rFonts w:eastAsia="Times New Roman" w:cs="Times New Roman"/>
          <w:sz w:val="27"/>
          <w:szCs w:val="27"/>
        </w:rPr>
        <w:t>b)</w:t>
      </w:r>
      <w:r w:rsidR="00C546A8" w:rsidRPr="00D43AAD">
        <w:rPr>
          <w:rFonts w:eastAsia="Times New Roman" w:cs="Times New Roman"/>
          <w:sz w:val="27"/>
          <w:szCs w:val="27"/>
        </w:rPr>
        <w:t xml:space="preserve"> Nhượng quyền khai thác công trình hạ tầng thủy sản đã đầu tư bằng nguồn vốn ngân sách nhà nước không ảnh hưởng đến an ninh quốc phòng, quyền sở hữu tài sản của nhà nước</w:t>
      </w:r>
      <w:r w:rsidR="00E456EE" w:rsidRPr="00D43AAD">
        <w:rPr>
          <w:rFonts w:eastAsia="Times New Roman" w:cs="Times New Roman"/>
          <w:sz w:val="27"/>
          <w:szCs w:val="27"/>
        </w:rPr>
        <w:t>:</w:t>
      </w:r>
    </w:p>
    <w:p w:rsidR="00C546A8" w:rsidRPr="00D43AAD" w:rsidRDefault="00C546A8" w:rsidP="004956BE">
      <w:pPr>
        <w:widowControl w:val="0"/>
        <w:spacing w:before="100" w:line="240" w:lineRule="auto"/>
        <w:ind w:left="0" w:firstLine="709"/>
        <w:jc w:val="both"/>
        <w:rPr>
          <w:rFonts w:eastAsia="Times New Roman" w:cs="Times New Roman"/>
          <w:sz w:val="27"/>
          <w:szCs w:val="27"/>
        </w:rPr>
      </w:pPr>
      <w:r w:rsidRPr="00D43AAD">
        <w:rPr>
          <w:rFonts w:eastAsia="Times New Roman" w:cs="Times New Roman"/>
          <w:sz w:val="27"/>
          <w:szCs w:val="27"/>
        </w:rPr>
        <w:t>Cảng cá, khu sản xuất giống tập trung, trung tâm giống thủy sản tại các vùng có điều kiện tự nhiên thuận lợi hoặc gắn kết với chuỗi sản xuất quy mô lớn</w:t>
      </w:r>
      <w:r w:rsidR="00E456EE" w:rsidRPr="00D43AAD">
        <w:rPr>
          <w:rFonts w:eastAsia="Times New Roman" w:cs="Times New Roman"/>
          <w:sz w:val="27"/>
          <w:szCs w:val="27"/>
        </w:rPr>
        <w:t xml:space="preserve"> sẽ được </w:t>
      </w:r>
      <w:r w:rsidRPr="00D43AAD">
        <w:rPr>
          <w:rFonts w:eastAsia="Times New Roman" w:cs="Times New Roman"/>
          <w:sz w:val="27"/>
          <w:szCs w:val="27"/>
        </w:rPr>
        <w:t>nhượng quyền kinh doanh, khai thác</w:t>
      </w:r>
      <w:r w:rsidR="00E456EE" w:rsidRPr="00D43AAD">
        <w:rPr>
          <w:rFonts w:eastAsia="Times New Roman" w:cs="Times New Roman"/>
          <w:sz w:val="27"/>
          <w:szCs w:val="27"/>
        </w:rPr>
        <w:t xml:space="preserve"> cho nhà đầu tư</w:t>
      </w:r>
      <w:r w:rsidRPr="00D43AAD">
        <w:rPr>
          <w:rFonts w:eastAsia="Times New Roman" w:cs="Times New Roman"/>
          <w:sz w:val="27"/>
          <w:szCs w:val="27"/>
        </w:rPr>
        <w:t> trong</w:t>
      </w:r>
      <w:r w:rsidR="00E456EE" w:rsidRPr="00D43AAD">
        <w:rPr>
          <w:rFonts w:eastAsia="Times New Roman" w:cs="Times New Roman"/>
          <w:sz w:val="27"/>
          <w:szCs w:val="27"/>
        </w:rPr>
        <w:t xml:space="preserve"> </w:t>
      </w:r>
      <w:r w:rsidRPr="00D43AAD">
        <w:rPr>
          <w:rFonts w:eastAsia="Times New Roman" w:cs="Times New Roman"/>
          <w:sz w:val="27"/>
          <w:szCs w:val="27"/>
        </w:rPr>
        <w:t>một thời gian nhất định</w:t>
      </w:r>
      <w:r w:rsidR="00E456EE" w:rsidRPr="00D43AAD">
        <w:rPr>
          <w:rFonts w:eastAsia="Times New Roman" w:cs="Times New Roman"/>
          <w:sz w:val="27"/>
          <w:szCs w:val="27"/>
        </w:rPr>
        <w:t xml:space="preserve">. Trong quá trình quản lý, khai thác, nhà đầu tư </w:t>
      </w:r>
      <w:r w:rsidRPr="00D43AAD">
        <w:rPr>
          <w:rFonts w:eastAsia="Times New Roman" w:cs="Times New Roman"/>
          <w:sz w:val="27"/>
          <w:szCs w:val="27"/>
        </w:rPr>
        <w:t>chịu trách nhiệm bảo trì; đảm bảo an toàn công trình, đảm bảo an sinh xã hội, an toàn vệ sinh thực phẩm, môi trường.</w:t>
      </w:r>
    </w:p>
    <w:p w:rsidR="00C546A8" w:rsidRPr="00D43AAD" w:rsidRDefault="00E625E4" w:rsidP="004078F7">
      <w:pPr>
        <w:widowControl w:val="0"/>
        <w:spacing w:before="240" w:line="240" w:lineRule="auto"/>
        <w:ind w:firstLine="352"/>
        <w:jc w:val="both"/>
        <w:rPr>
          <w:rFonts w:eastAsia="Times New Roman" w:cs="Times New Roman"/>
          <w:b/>
          <w:sz w:val="27"/>
          <w:szCs w:val="27"/>
          <w:shd w:val="clear" w:color="auto" w:fill="FFFFFF"/>
        </w:rPr>
      </w:pPr>
      <w:r w:rsidRPr="00D43AAD">
        <w:rPr>
          <w:rFonts w:eastAsia="Times New Roman" w:cs="Times New Roman"/>
          <w:b/>
          <w:sz w:val="27"/>
          <w:szCs w:val="27"/>
          <w:shd w:val="clear" w:color="auto" w:fill="FFFFFF"/>
        </w:rPr>
        <w:t>2</w:t>
      </w:r>
      <w:r w:rsidR="00C546A8" w:rsidRPr="00D43AAD">
        <w:rPr>
          <w:rFonts w:eastAsia="Times New Roman" w:cs="Times New Roman"/>
          <w:b/>
          <w:sz w:val="27"/>
          <w:szCs w:val="27"/>
          <w:shd w:val="clear" w:color="auto" w:fill="FFFFFF"/>
        </w:rPr>
        <w:t>. Đối với hệ thống kết cấu hạ tầng xây mới</w:t>
      </w:r>
    </w:p>
    <w:p w:rsidR="00C546A8" w:rsidRPr="00D43AAD" w:rsidRDefault="00E625E4" w:rsidP="004956BE">
      <w:pPr>
        <w:widowControl w:val="0"/>
        <w:spacing w:before="100" w:line="240" w:lineRule="auto"/>
        <w:ind w:left="0" w:firstLine="720"/>
        <w:jc w:val="both"/>
        <w:rPr>
          <w:rFonts w:eastAsia="Times New Roman" w:cs="Times New Roman"/>
          <w:b/>
          <w:i/>
          <w:sz w:val="27"/>
          <w:szCs w:val="27"/>
          <w:shd w:val="clear" w:color="auto" w:fill="FFFFFF"/>
        </w:rPr>
      </w:pPr>
      <w:r w:rsidRPr="00D43AAD">
        <w:rPr>
          <w:rFonts w:eastAsia="Times New Roman" w:cs="Times New Roman"/>
          <w:sz w:val="27"/>
          <w:szCs w:val="27"/>
        </w:rPr>
        <w:t>-</w:t>
      </w:r>
      <w:r w:rsidR="00C546A8" w:rsidRPr="00D43AAD">
        <w:rPr>
          <w:rFonts w:eastAsia="Times New Roman" w:cs="Times New Roman"/>
          <w:sz w:val="27"/>
          <w:szCs w:val="27"/>
        </w:rPr>
        <w:t xml:space="preserve"> </w:t>
      </w:r>
      <w:r w:rsidR="00E456EE" w:rsidRPr="00D43AAD">
        <w:rPr>
          <w:rFonts w:eastAsia="Times New Roman" w:cs="Times New Roman"/>
          <w:sz w:val="27"/>
          <w:szCs w:val="27"/>
        </w:rPr>
        <w:t xml:space="preserve">Nhà đầu tư có thể tham gia </w:t>
      </w:r>
      <w:r w:rsidR="00C546A8" w:rsidRPr="00D43AAD">
        <w:rPr>
          <w:rFonts w:eastAsia="Times New Roman" w:cs="Times New Roman"/>
          <w:sz w:val="27"/>
          <w:szCs w:val="27"/>
        </w:rPr>
        <w:t xml:space="preserve">xây dựng một phần hoặc toàn bộ dự án theo hình thức hợp tác đối tác công tư (PPP)... trên cơ sở Nhà nước có cơ chế, chính sách hỗ trợ </w:t>
      </w:r>
      <w:r w:rsidR="00C546A8" w:rsidRPr="00D43AAD">
        <w:rPr>
          <w:rFonts w:eastAsia="Times New Roman" w:cs="Times New Roman"/>
          <w:i/>
          <w:sz w:val="27"/>
          <w:szCs w:val="27"/>
        </w:rPr>
        <w:t>(thuế, phí, lãi vay, thời gian vay, tỷ giá, bảo lãnh doanh thu...)</w:t>
      </w:r>
      <w:r w:rsidR="002F7186" w:rsidRPr="00D43AAD">
        <w:rPr>
          <w:rFonts w:eastAsia="Times New Roman" w:cs="Times New Roman"/>
          <w:sz w:val="27"/>
          <w:szCs w:val="27"/>
        </w:rPr>
        <w:t>;</w:t>
      </w:r>
      <w:r w:rsidR="00223FFE" w:rsidRPr="00D43AAD">
        <w:rPr>
          <w:rFonts w:eastAsia="Times New Roman" w:cs="Times New Roman"/>
          <w:sz w:val="27"/>
          <w:szCs w:val="27"/>
        </w:rPr>
        <w:t xml:space="preserve"> </w:t>
      </w:r>
      <w:r w:rsidR="00C546A8" w:rsidRPr="00D43AAD">
        <w:rPr>
          <w:rFonts w:eastAsia="Times New Roman" w:cs="Times New Roman"/>
          <w:sz w:val="27"/>
          <w:szCs w:val="27"/>
        </w:rPr>
        <w:t>phần vốn của Nhà nước tham gia công tác giải phóng mặt bằng, phần vốn đầu tư các hạng mục công trình liên quan trực tiếp đến đảm bảo an ninh, quốc phòng, an toàn dân sinh (neo đậu tránh trú bão, cầu tàu kết hợp quân sự trên các đảo…), đầu tư các công trình kết nối thuận tiện công trình thủy sản  với mạng lưới giao thông, điện, nước, thông tin liên lạc</w:t>
      </w:r>
      <w:r w:rsidR="002F7186" w:rsidRPr="00D43AAD">
        <w:rPr>
          <w:rFonts w:eastAsia="Times New Roman" w:cs="Times New Roman"/>
          <w:sz w:val="27"/>
          <w:szCs w:val="27"/>
        </w:rPr>
        <w:t xml:space="preserve"> </w:t>
      </w:r>
      <w:r w:rsidR="00C546A8" w:rsidRPr="00D43AAD">
        <w:rPr>
          <w:rFonts w:eastAsia="Times New Roman" w:cs="Times New Roman"/>
          <w:sz w:val="27"/>
          <w:szCs w:val="27"/>
        </w:rPr>
        <w:t>từng bước tạo thành mạng lưới kết cấu hạ tầng, dịch vụ hậu cần hiện đại.</w:t>
      </w:r>
    </w:p>
    <w:p w:rsidR="00C546A8" w:rsidRPr="00D43AAD" w:rsidRDefault="00E625E4" w:rsidP="004956BE">
      <w:pPr>
        <w:widowControl w:val="0"/>
        <w:spacing w:before="100" w:line="240" w:lineRule="auto"/>
        <w:ind w:left="0" w:firstLine="720"/>
        <w:jc w:val="both"/>
        <w:rPr>
          <w:rFonts w:eastAsia="Times New Roman" w:cs="Times New Roman"/>
          <w:sz w:val="27"/>
          <w:szCs w:val="27"/>
        </w:rPr>
      </w:pPr>
      <w:r w:rsidRPr="00D43AAD">
        <w:rPr>
          <w:rFonts w:eastAsia="Times New Roman" w:cs="Times New Roman"/>
          <w:sz w:val="27"/>
          <w:szCs w:val="27"/>
        </w:rPr>
        <w:t>-</w:t>
      </w:r>
      <w:r w:rsidR="00C546A8" w:rsidRPr="00D43AAD">
        <w:rPr>
          <w:rFonts w:eastAsia="Times New Roman" w:cs="Times New Roman"/>
          <w:sz w:val="27"/>
          <w:szCs w:val="27"/>
        </w:rPr>
        <w:t xml:space="preserve"> </w:t>
      </w:r>
      <w:r w:rsidR="00223FFE" w:rsidRPr="00D43AAD">
        <w:rPr>
          <w:rFonts w:eastAsia="Times New Roman" w:cs="Times New Roman"/>
          <w:sz w:val="27"/>
          <w:szCs w:val="27"/>
        </w:rPr>
        <w:t xml:space="preserve">Nhà đầu tư có thể được </w:t>
      </w:r>
      <w:r w:rsidR="00C546A8" w:rsidRPr="00D43AAD">
        <w:rPr>
          <w:rFonts w:eastAsia="Times New Roman" w:cs="Times New Roman"/>
          <w:sz w:val="27"/>
          <w:szCs w:val="27"/>
        </w:rPr>
        <w:t>chuyển nhượng quyền sử dụng đất, bán tài sản trên đất của các cảng cá, khu nghiên cứu, sản xuất giống thủy sản… nằm trong khu đô thị nhưng phải chuyển đổi mục đích sử dụng, di dời theo quy hoạch.</w:t>
      </w:r>
      <w:r w:rsidR="00223FFE" w:rsidRPr="00D43AAD">
        <w:rPr>
          <w:rFonts w:eastAsia="Times New Roman" w:cs="Times New Roman"/>
          <w:sz w:val="27"/>
          <w:szCs w:val="27"/>
        </w:rPr>
        <w:t xml:space="preserve"> Nguồn kinh phí thu được sẽ được nhà nước thực hiện đầu tư các công trình mới.</w:t>
      </w:r>
    </w:p>
    <w:p w:rsidR="00C546A8" w:rsidRPr="00D43AAD" w:rsidRDefault="00E625E4" w:rsidP="004956BE">
      <w:pPr>
        <w:widowControl w:val="0"/>
        <w:spacing w:before="100" w:line="240" w:lineRule="auto"/>
        <w:ind w:left="0" w:firstLine="720"/>
        <w:jc w:val="both"/>
        <w:rPr>
          <w:rFonts w:eastAsia="Times New Roman" w:cs="Times New Roman"/>
          <w:sz w:val="27"/>
          <w:szCs w:val="27"/>
        </w:rPr>
      </w:pPr>
      <w:r w:rsidRPr="00D43AAD">
        <w:rPr>
          <w:rFonts w:eastAsia="Times New Roman" w:cs="Times New Roman"/>
          <w:sz w:val="27"/>
          <w:szCs w:val="27"/>
        </w:rPr>
        <w:t>-</w:t>
      </w:r>
      <w:r w:rsidR="00C546A8" w:rsidRPr="00D43AAD">
        <w:rPr>
          <w:rFonts w:eastAsia="Times New Roman" w:cs="Times New Roman"/>
          <w:sz w:val="27"/>
          <w:szCs w:val="27"/>
        </w:rPr>
        <w:t xml:space="preserve"> Kêu gọi nhà đầu tư tham gia nạo vét, duy tu cảng cá và khu neo đậu tránh trú bão cho tàu cá kết hợp tận thu sản phẩm, khai thác khoáng sản, vật liệu không sử dụng ngân sách nhà nước.</w:t>
      </w:r>
    </w:p>
    <w:p w:rsidR="00C546A8" w:rsidRPr="00D43AAD" w:rsidRDefault="00E625E4" w:rsidP="004956BE">
      <w:pPr>
        <w:widowControl w:val="0"/>
        <w:spacing w:before="100" w:line="240" w:lineRule="auto"/>
        <w:ind w:left="0" w:firstLine="720"/>
        <w:jc w:val="both"/>
        <w:rPr>
          <w:rFonts w:eastAsia="Times New Roman" w:cs="Times New Roman"/>
          <w:sz w:val="27"/>
          <w:szCs w:val="27"/>
        </w:rPr>
      </w:pPr>
      <w:r w:rsidRPr="00D43AAD">
        <w:rPr>
          <w:rFonts w:eastAsia="Times New Roman" w:cs="Times New Roman"/>
          <w:sz w:val="27"/>
          <w:szCs w:val="27"/>
        </w:rPr>
        <w:t>-</w:t>
      </w:r>
      <w:r w:rsidR="00C546A8" w:rsidRPr="00D43AAD">
        <w:rPr>
          <w:rFonts w:eastAsia="Times New Roman" w:cs="Times New Roman"/>
          <w:sz w:val="27"/>
          <w:szCs w:val="27"/>
        </w:rPr>
        <w:t xml:space="preserve"> Thí điểm phương án hoàn trả các dự án BT hạ tầng thủy sản bằng khai thác quỹ đất, diện tích mặt nước biển tạo nên do lấn biển, mở rộng đảo tận thu sản phẩm nạo vét khi đầu tư xây dựng cảng cá, khu neo đậu tránh trú bão.</w:t>
      </w:r>
    </w:p>
    <w:p w:rsidR="00C546A8" w:rsidRPr="00D43AAD" w:rsidRDefault="00E625E4" w:rsidP="004956BE">
      <w:pPr>
        <w:widowControl w:val="0"/>
        <w:spacing w:before="100" w:line="240" w:lineRule="auto"/>
        <w:ind w:left="0" w:firstLine="720"/>
        <w:jc w:val="both"/>
        <w:rPr>
          <w:rFonts w:eastAsia="Times New Roman" w:cs="Times New Roman"/>
          <w:sz w:val="27"/>
          <w:szCs w:val="27"/>
        </w:rPr>
      </w:pPr>
      <w:r w:rsidRPr="00D43AAD">
        <w:rPr>
          <w:rFonts w:eastAsia="Times New Roman" w:cs="Times New Roman"/>
          <w:sz w:val="27"/>
          <w:szCs w:val="27"/>
        </w:rPr>
        <w:t>-</w:t>
      </w:r>
      <w:r w:rsidR="00C546A8" w:rsidRPr="00D43AAD">
        <w:rPr>
          <w:rFonts w:eastAsia="Times New Roman" w:cs="Times New Roman"/>
          <w:sz w:val="27"/>
          <w:szCs w:val="27"/>
        </w:rPr>
        <w:t xml:space="preserve"> </w:t>
      </w:r>
      <w:r w:rsidR="00223FFE" w:rsidRPr="00D43AAD">
        <w:rPr>
          <w:rFonts w:eastAsia="Times New Roman" w:cs="Times New Roman"/>
          <w:sz w:val="27"/>
          <w:szCs w:val="27"/>
        </w:rPr>
        <w:t xml:space="preserve">Kêu gọi </w:t>
      </w:r>
      <w:r w:rsidR="00C546A8" w:rsidRPr="00D43AAD">
        <w:rPr>
          <w:rFonts w:eastAsia="Times New Roman" w:cs="Times New Roman"/>
          <w:sz w:val="27"/>
          <w:szCs w:val="27"/>
        </w:rPr>
        <w:t>nhà đầu tư xây dựng công trình kết cấu hạ tầng (đặc biệt là hạ tầng thông tin quản lý nghề cá; cơ sở đăng kiểm tàu cá). Sau khi hoàn thành công trình, nhà đầu tư được quyền cung cấp dịch vụ trên cơ sở vận hành, khai thác công trình đó trong một thời hạn nhất định.</w:t>
      </w:r>
    </w:p>
    <w:p w:rsidR="00C546A8" w:rsidRPr="00D43AAD" w:rsidRDefault="00E625E4" w:rsidP="004956BE">
      <w:pPr>
        <w:widowControl w:val="0"/>
        <w:spacing w:before="100" w:line="240" w:lineRule="auto"/>
        <w:ind w:left="0" w:firstLine="720"/>
        <w:jc w:val="both"/>
        <w:rPr>
          <w:rFonts w:eastAsia="Times New Roman" w:cs="Times New Roman"/>
          <w:sz w:val="27"/>
          <w:szCs w:val="27"/>
        </w:rPr>
      </w:pPr>
      <w:r w:rsidRPr="00D43AAD">
        <w:rPr>
          <w:rFonts w:eastAsia="Times New Roman" w:cs="Times New Roman"/>
          <w:sz w:val="27"/>
          <w:szCs w:val="27"/>
        </w:rPr>
        <w:t>-</w:t>
      </w:r>
      <w:r w:rsidR="00C546A8" w:rsidRPr="00D43AAD">
        <w:rPr>
          <w:rFonts w:eastAsia="Times New Roman" w:cs="Times New Roman"/>
          <w:sz w:val="27"/>
          <w:szCs w:val="27"/>
        </w:rPr>
        <w:t xml:space="preserve"> Thu hút vốn vay ODA để xây dựng cơ sở hạ tầng nghề cá: </w:t>
      </w:r>
      <w:r w:rsidR="00223FFE" w:rsidRPr="00D43AAD">
        <w:rPr>
          <w:rFonts w:eastAsia="Times New Roman" w:cs="Times New Roman"/>
          <w:sz w:val="27"/>
          <w:szCs w:val="27"/>
        </w:rPr>
        <w:t>C</w:t>
      </w:r>
      <w:r w:rsidR="00C546A8" w:rsidRPr="00D43AAD">
        <w:rPr>
          <w:rFonts w:eastAsia="Times New Roman" w:cs="Times New Roman"/>
          <w:sz w:val="27"/>
          <w:szCs w:val="27"/>
        </w:rPr>
        <w:t>ảng cá, bến cá, chợ cá, khu neo đậu tránh trú bão cho tàu cá…; hệ thống cơ sở hạ tầng đồng bộ phục vụ nuôi trồng thủy sản tập trung (hệ thống cấp thoát nước đầu mối, đê bao, kè, đường giao thông, hệ thống điện, công trình xử lý nước thải</w:t>
      </w:r>
      <w:r w:rsidR="003D7C1E" w:rsidRPr="00D43AAD">
        <w:rPr>
          <w:rFonts w:eastAsia="Times New Roman" w:cs="Times New Roman"/>
          <w:sz w:val="27"/>
          <w:szCs w:val="27"/>
        </w:rPr>
        <w:t xml:space="preserve"> chung); cơ sở hạ tầng các khu/</w:t>
      </w:r>
      <w:r w:rsidR="00C546A8" w:rsidRPr="00D43AAD">
        <w:rPr>
          <w:rFonts w:eastAsia="Times New Roman" w:cs="Times New Roman"/>
          <w:sz w:val="27"/>
          <w:szCs w:val="27"/>
        </w:rPr>
        <w:t>vùng sản xuất giống tập trung, hệ thống thông tin quản lý nguồn lợi và nghề cá xa bờ.</w:t>
      </w:r>
    </w:p>
    <w:p w:rsidR="00D43AAD" w:rsidRPr="00D43AAD" w:rsidRDefault="00E625E4" w:rsidP="00B469C3">
      <w:pPr>
        <w:widowControl w:val="0"/>
        <w:spacing w:line="240" w:lineRule="auto"/>
        <w:ind w:left="0" w:firstLine="720"/>
        <w:jc w:val="both"/>
        <w:rPr>
          <w:rFonts w:eastAsia="Times New Roman" w:cs="Times New Roman"/>
          <w:sz w:val="27"/>
          <w:szCs w:val="27"/>
        </w:rPr>
      </w:pPr>
      <w:r w:rsidRPr="00D43AAD">
        <w:rPr>
          <w:rFonts w:eastAsia="Times New Roman" w:cs="Times New Roman"/>
          <w:sz w:val="27"/>
          <w:szCs w:val="27"/>
        </w:rPr>
        <w:t>-</w:t>
      </w:r>
      <w:r w:rsidR="00C546A8" w:rsidRPr="00D43AAD">
        <w:rPr>
          <w:rFonts w:eastAsia="Times New Roman" w:cs="Times New Roman"/>
          <w:sz w:val="27"/>
          <w:szCs w:val="27"/>
        </w:rPr>
        <w:t xml:space="preserve"> Thu hút vốn vay ưu đãi để Nâng cấp cơ sở hạ tầng các cơ sở giống thủy sản </w:t>
      </w:r>
      <w:r w:rsidR="00C546A8" w:rsidRPr="00D43AAD">
        <w:rPr>
          <w:rFonts w:eastAsia="Times New Roman" w:cs="Times New Roman"/>
          <w:sz w:val="27"/>
          <w:szCs w:val="27"/>
        </w:rPr>
        <w:lastRenderedPageBreak/>
        <w:t>cấp vùng và cấp tỉnh; Xây dựng các khu nuôi trồng thuỷ sản áp dụng công nghệ tiên tiến; Xây dựng cơ sở vật chất quan trắc cảnh báo môi trường, phòng ngừa dịch bệnh thủy sản.</w:t>
      </w:r>
    </w:p>
    <w:p w:rsidR="00D43AAD" w:rsidRPr="00D43AAD" w:rsidRDefault="00D43AAD" w:rsidP="00D43AAD">
      <w:pPr>
        <w:widowControl w:val="0"/>
        <w:spacing w:line="240" w:lineRule="auto"/>
        <w:jc w:val="both"/>
        <w:rPr>
          <w:rFonts w:eastAsia="Times New Roman" w:cs="Times New Roman"/>
          <w:b/>
          <w:sz w:val="27"/>
          <w:szCs w:val="27"/>
        </w:rPr>
      </w:pPr>
      <w:r w:rsidRPr="00D43AAD">
        <w:rPr>
          <w:rFonts w:eastAsia="Times New Roman" w:cs="Times New Roman"/>
          <w:b/>
          <w:sz w:val="27"/>
          <w:szCs w:val="27"/>
        </w:rPr>
        <w:t>V. PHÂN CÔNG TỔ CHỨC THỰC HIỆN</w:t>
      </w:r>
    </w:p>
    <w:p w:rsidR="00332854" w:rsidRDefault="00332854" w:rsidP="00332854">
      <w:pPr>
        <w:widowControl w:val="0"/>
        <w:shd w:val="clear" w:color="auto" w:fill="FFFFFF"/>
        <w:spacing w:after="120" w:line="240" w:lineRule="auto"/>
        <w:ind w:left="0" w:firstLine="709"/>
        <w:rPr>
          <w:rFonts w:eastAsia="Times New Roman" w:cs="Times New Roman"/>
          <w:b/>
          <w:bCs/>
          <w:color w:val="000000"/>
          <w:szCs w:val="28"/>
        </w:rPr>
      </w:pPr>
      <w:bookmarkStart w:id="0" w:name="bookmark12"/>
      <w:r>
        <w:rPr>
          <w:rFonts w:eastAsia="Times New Roman" w:cs="Times New Roman"/>
          <w:b/>
          <w:bCs/>
          <w:color w:val="000000"/>
          <w:szCs w:val="28"/>
        </w:rPr>
        <w:t>1. Bộ Nông nghiệp và Phát triển nông thôn</w:t>
      </w:r>
    </w:p>
    <w:p w:rsidR="00332854" w:rsidRPr="001570AC" w:rsidRDefault="00332854" w:rsidP="00332854">
      <w:pPr>
        <w:widowControl w:val="0"/>
        <w:shd w:val="clear" w:color="auto" w:fill="FFFFFF"/>
        <w:spacing w:after="120" w:line="240" w:lineRule="auto"/>
        <w:ind w:left="0" w:firstLine="709"/>
        <w:rPr>
          <w:rFonts w:eastAsia="Times New Roman" w:cs="Times New Roman"/>
          <w:color w:val="000000"/>
          <w:szCs w:val="28"/>
        </w:rPr>
      </w:pPr>
      <w:r>
        <w:rPr>
          <w:rFonts w:eastAsia="Times New Roman" w:cs="Times New Roman"/>
          <w:bCs/>
          <w:color w:val="000000"/>
          <w:szCs w:val="28"/>
        </w:rPr>
        <w:t>a)</w:t>
      </w:r>
      <w:r w:rsidRPr="001570AC">
        <w:rPr>
          <w:rFonts w:eastAsia="Times New Roman" w:cs="Times New Roman"/>
          <w:bCs/>
          <w:color w:val="000000"/>
          <w:szCs w:val="28"/>
          <w:lang w:val="vi-VN"/>
        </w:rPr>
        <w:t> </w:t>
      </w:r>
      <w:bookmarkEnd w:id="0"/>
      <w:r w:rsidRPr="001570AC">
        <w:rPr>
          <w:rFonts w:eastAsia="Times New Roman" w:cs="Times New Roman"/>
          <w:bCs/>
          <w:color w:val="000000"/>
          <w:szCs w:val="28"/>
          <w:lang w:val="vi-VN"/>
        </w:rPr>
        <w:t>Tổng cục Thủy sản</w:t>
      </w:r>
      <w:r w:rsidRPr="001570AC">
        <w:rPr>
          <w:rFonts w:eastAsia="Times New Roman" w:cs="Times New Roman"/>
          <w:bCs/>
          <w:color w:val="000000"/>
          <w:szCs w:val="28"/>
        </w:rPr>
        <w:t>:</w:t>
      </w:r>
    </w:p>
    <w:p w:rsidR="00332854" w:rsidRPr="001570AC" w:rsidRDefault="006F5910" w:rsidP="00332854">
      <w:pPr>
        <w:widowControl w:val="0"/>
        <w:spacing w:after="120" w:line="240" w:lineRule="auto"/>
        <w:ind w:left="0" w:firstLine="709"/>
        <w:rPr>
          <w:rFonts w:eastAsia="Times New Roman"/>
          <w:szCs w:val="28"/>
        </w:rPr>
      </w:pPr>
      <w:r>
        <w:rPr>
          <w:rFonts w:eastAsia="Times New Roman"/>
          <w:szCs w:val="28"/>
        </w:rPr>
        <w:t xml:space="preserve">- Chủ trì đề xuất. </w:t>
      </w:r>
      <w:r w:rsidR="00332854" w:rsidRPr="001570AC">
        <w:rPr>
          <w:rFonts w:eastAsia="Times New Roman"/>
          <w:szCs w:val="28"/>
        </w:rPr>
        <w:t>rà soát, cập nhật, bổ sung các văn bản quy</w:t>
      </w:r>
      <w:r w:rsidR="00332854" w:rsidRPr="001570AC">
        <w:rPr>
          <w:rFonts w:eastAsia="Times New Roman"/>
          <w:szCs w:val="28"/>
          <w:lang w:val="vi-VN"/>
        </w:rPr>
        <w:t xml:space="preserve"> phạm pháp luật</w:t>
      </w:r>
      <w:r w:rsidR="00332854" w:rsidRPr="001570AC">
        <w:rPr>
          <w:rFonts w:eastAsia="Times New Roman"/>
          <w:szCs w:val="28"/>
        </w:rPr>
        <w:t>,</w:t>
      </w:r>
      <w:r w:rsidR="00332854" w:rsidRPr="001570AC">
        <w:rPr>
          <w:szCs w:val="28"/>
        </w:rPr>
        <w:t xml:space="preserve"> Chiến lược, Quy hoạch</w:t>
      </w:r>
      <w:r>
        <w:rPr>
          <w:szCs w:val="28"/>
        </w:rPr>
        <w:t xml:space="preserve"> có</w:t>
      </w:r>
      <w:r w:rsidR="00332854" w:rsidRPr="001570AC">
        <w:rPr>
          <w:szCs w:val="28"/>
        </w:rPr>
        <w:t xml:space="preserve"> </w:t>
      </w:r>
      <w:r w:rsidR="00332854" w:rsidRPr="001570AC">
        <w:rPr>
          <w:rFonts w:eastAsia="Times New Roman"/>
          <w:szCs w:val="28"/>
        </w:rPr>
        <w:t xml:space="preserve">liên quan </w:t>
      </w:r>
      <w:r w:rsidR="00332854" w:rsidRPr="001570AC">
        <w:rPr>
          <w:rFonts w:eastAsia="Times New Roman"/>
          <w:szCs w:val="28"/>
          <w:lang w:val="vi-VN"/>
        </w:rPr>
        <w:t xml:space="preserve">đến công tác </w:t>
      </w:r>
      <w:r w:rsidR="00332854" w:rsidRPr="001570AC">
        <w:rPr>
          <w:rFonts w:eastAsia="Times New Roman"/>
          <w:szCs w:val="28"/>
        </w:rPr>
        <w:t>thu hút vốn</w:t>
      </w:r>
      <w:r w:rsidR="00332854" w:rsidRPr="001570AC">
        <w:rPr>
          <w:rFonts w:eastAsia="Times New Roman"/>
          <w:szCs w:val="28"/>
          <w:lang w:val="vi-VN"/>
        </w:rPr>
        <w:t xml:space="preserve"> </w:t>
      </w:r>
      <w:r w:rsidR="00332854" w:rsidRPr="001570AC">
        <w:rPr>
          <w:rFonts w:eastAsia="Times New Roman"/>
          <w:szCs w:val="28"/>
        </w:rPr>
        <w:t xml:space="preserve">ngoài ngân sách đầu tư kết cấu hạ </w:t>
      </w:r>
      <w:r>
        <w:rPr>
          <w:rFonts w:eastAsia="Times New Roman"/>
          <w:szCs w:val="28"/>
        </w:rPr>
        <w:t>Trung tâm nghề cá lớn</w:t>
      </w:r>
      <w:r w:rsidR="00332854" w:rsidRPr="001570AC">
        <w:rPr>
          <w:rFonts w:eastAsia="Times New Roman"/>
          <w:szCs w:val="28"/>
          <w:lang w:val="vi-VN"/>
        </w:rPr>
        <w:t>.</w:t>
      </w:r>
    </w:p>
    <w:p w:rsidR="00332854" w:rsidRPr="001570AC" w:rsidRDefault="00332854" w:rsidP="00332854">
      <w:pPr>
        <w:widowControl w:val="0"/>
        <w:spacing w:after="120" w:line="240" w:lineRule="auto"/>
        <w:ind w:left="0" w:firstLine="709"/>
        <w:rPr>
          <w:rFonts w:eastAsia="Times New Roman"/>
          <w:szCs w:val="28"/>
        </w:rPr>
      </w:pPr>
      <w:r w:rsidRPr="001570AC">
        <w:rPr>
          <w:rFonts w:eastAsia="Times New Roman"/>
          <w:szCs w:val="28"/>
        </w:rPr>
        <w:t xml:space="preserve">- </w:t>
      </w:r>
      <w:r w:rsidRPr="001570AC">
        <w:rPr>
          <w:rFonts w:eastAsia="Times New Roman"/>
          <w:szCs w:val="28"/>
          <w:lang w:val="vi-VN"/>
        </w:rPr>
        <w:t>Chủ trì đề xuất danh mục thực hiện các chương trình, dự án kêu gọi xã hội hóa đầu tư</w:t>
      </w:r>
      <w:r w:rsidRPr="001570AC">
        <w:rPr>
          <w:rFonts w:eastAsia="Times New Roman"/>
          <w:szCs w:val="28"/>
        </w:rPr>
        <w:t xml:space="preserve"> (đầu tư trực tiếp, đối tác công tư...)</w:t>
      </w:r>
      <w:r w:rsidRPr="001570AC">
        <w:rPr>
          <w:rFonts w:eastAsia="Times New Roman"/>
          <w:szCs w:val="28"/>
          <w:lang w:val="vi-VN"/>
        </w:rPr>
        <w:t xml:space="preserve"> trình Bộ </w:t>
      </w:r>
      <w:r w:rsidRPr="001570AC">
        <w:rPr>
          <w:rFonts w:eastAsia="Times New Roman"/>
          <w:szCs w:val="28"/>
        </w:rPr>
        <w:t>Nông nghiệp và Phát triển nông thôn</w:t>
      </w:r>
      <w:r w:rsidRPr="001570AC">
        <w:rPr>
          <w:rFonts w:eastAsia="Times New Roman"/>
          <w:szCs w:val="28"/>
          <w:lang w:val="vi-VN"/>
        </w:rPr>
        <w:t xml:space="preserve">. </w:t>
      </w:r>
    </w:p>
    <w:p w:rsidR="00332854" w:rsidRPr="001570AC" w:rsidRDefault="00332854" w:rsidP="00332854">
      <w:pPr>
        <w:widowControl w:val="0"/>
        <w:spacing w:after="120" w:line="240" w:lineRule="auto"/>
        <w:ind w:left="0" w:firstLine="709"/>
        <w:rPr>
          <w:rFonts w:eastAsia="Times New Roman"/>
          <w:szCs w:val="28"/>
        </w:rPr>
      </w:pPr>
      <w:r w:rsidRPr="001570AC">
        <w:rPr>
          <w:rFonts w:eastAsia="Times New Roman"/>
          <w:szCs w:val="28"/>
        </w:rPr>
        <w:t>- Chủ trì x</w:t>
      </w:r>
      <w:r w:rsidRPr="001570AC">
        <w:rPr>
          <w:rFonts w:eastAsia="Times New Roman"/>
          <w:szCs w:val="28"/>
          <w:lang w:val="vi-VN"/>
        </w:rPr>
        <w:t>ây dựng các quy định, hướng dẫn triển khai thực hiện đầu tư, </w:t>
      </w:r>
      <w:r w:rsidRPr="001570AC">
        <w:rPr>
          <w:rFonts w:eastAsia="Times New Roman"/>
          <w:szCs w:val="28"/>
          <w:shd w:val="clear" w:color="auto" w:fill="FFFFFF"/>
          <w:lang w:val="vi-VN"/>
        </w:rPr>
        <w:t>Hợp đồng</w:t>
      </w:r>
      <w:r w:rsidRPr="001570AC">
        <w:rPr>
          <w:rFonts w:eastAsia="Times New Roman"/>
          <w:szCs w:val="28"/>
          <w:lang w:val="vi-VN"/>
        </w:rPr>
        <w:t xml:space="preserve"> dự án mẫu cho các dự án PPP lĩnh vực </w:t>
      </w:r>
      <w:r w:rsidRPr="001570AC">
        <w:rPr>
          <w:rFonts w:eastAsia="Times New Roman"/>
          <w:szCs w:val="28"/>
        </w:rPr>
        <w:t>kết cấu hạ tầng thủy sản, trình Bộ Nông nghiệp và Phát triển nông thôn ban hành hoặc phối hợp các Bộ, ngành ban hành.</w:t>
      </w:r>
    </w:p>
    <w:p w:rsidR="00332854" w:rsidRPr="001570AC" w:rsidRDefault="00332854" w:rsidP="00332854">
      <w:pPr>
        <w:widowControl w:val="0"/>
        <w:spacing w:after="120" w:line="240" w:lineRule="auto"/>
        <w:ind w:left="0" w:firstLine="709"/>
        <w:rPr>
          <w:rFonts w:eastAsia="Times New Roman"/>
          <w:szCs w:val="28"/>
        </w:rPr>
      </w:pPr>
      <w:r w:rsidRPr="001570AC">
        <w:rPr>
          <w:rFonts w:eastAsia="Times New Roman"/>
          <w:szCs w:val="28"/>
        </w:rPr>
        <w:t>- Xây dựng cơ sở dữ liệu, tuyên truyền thông tin đầu tư và các chính sách có liên quan đến đầu tư kết cấu hạ tầng thủy sản.</w:t>
      </w:r>
    </w:p>
    <w:p w:rsidR="00332854" w:rsidRPr="001570AC" w:rsidRDefault="00332854" w:rsidP="00332854">
      <w:pPr>
        <w:widowControl w:val="0"/>
        <w:spacing w:after="120" w:line="240" w:lineRule="auto"/>
        <w:ind w:left="0" w:firstLine="709"/>
        <w:rPr>
          <w:rFonts w:eastAsia="Times New Roman"/>
          <w:szCs w:val="28"/>
        </w:rPr>
      </w:pPr>
      <w:r>
        <w:rPr>
          <w:rFonts w:eastAsia="Times New Roman"/>
          <w:szCs w:val="28"/>
        </w:rPr>
        <w:t>- Xây dựng một số dự án thu hút đầu tư (Hồ sơ đề xuất chủ trương đầu tư…).</w:t>
      </w:r>
    </w:p>
    <w:p w:rsidR="00332854" w:rsidRPr="001570AC" w:rsidRDefault="00332854" w:rsidP="00332854">
      <w:pPr>
        <w:widowControl w:val="0"/>
        <w:spacing w:after="120" w:line="240" w:lineRule="auto"/>
        <w:ind w:left="0" w:firstLine="709"/>
        <w:rPr>
          <w:rFonts w:eastAsia="Times New Roman"/>
          <w:szCs w:val="28"/>
        </w:rPr>
      </w:pPr>
      <w:r w:rsidRPr="001570AC">
        <w:rPr>
          <w:rFonts w:eastAsia="Times New Roman"/>
          <w:szCs w:val="28"/>
        </w:rPr>
        <w:t>- Đơn vị đầu mối thẩm định, trình Bộ phê duyệt đề xuất dự án, báo cáo nghiên cứu khả thi dự án đầu tư theo hình thức đối tác công tư lĩnh vực thủy sản.</w:t>
      </w:r>
    </w:p>
    <w:p w:rsidR="00332854" w:rsidRPr="001570AC" w:rsidRDefault="00332854" w:rsidP="00332854">
      <w:pPr>
        <w:widowControl w:val="0"/>
        <w:spacing w:after="120" w:line="240" w:lineRule="auto"/>
        <w:ind w:left="0" w:firstLine="709"/>
        <w:rPr>
          <w:rFonts w:eastAsia="Times New Roman"/>
          <w:szCs w:val="28"/>
        </w:rPr>
      </w:pPr>
      <w:r>
        <w:rPr>
          <w:rFonts w:eastAsia="Times New Roman"/>
          <w:szCs w:val="28"/>
        </w:rPr>
        <w:t>b)</w:t>
      </w:r>
      <w:r w:rsidRPr="001570AC">
        <w:rPr>
          <w:rFonts w:eastAsia="Times New Roman"/>
          <w:szCs w:val="28"/>
        </w:rPr>
        <w:t xml:space="preserve"> Vụ Kế hoạch:</w:t>
      </w:r>
    </w:p>
    <w:p w:rsidR="00332854" w:rsidRPr="001570AC" w:rsidRDefault="00332854" w:rsidP="00332854">
      <w:pPr>
        <w:widowControl w:val="0"/>
        <w:spacing w:after="120" w:line="240" w:lineRule="auto"/>
        <w:ind w:left="0" w:firstLine="709"/>
        <w:rPr>
          <w:rFonts w:eastAsia="Times New Roman"/>
          <w:szCs w:val="28"/>
        </w:rPr>
      </w:pPr>
      <w:r w:rsidRPr="001570AC">
        <w:rPr>
          <w:rFonts w:eastAsia="Times New Roman"/>
          <w:szCs w:val="28"/>
        </w:rPr>
        <w:t>- Chủ trì tham mưu bố trí phần vốn Nhà nước hỗ trợ các dự án PPP trong kế hoạch trung hạn, kế hoạch hàng năm.</w:t>
      </w:r>
    </w:p>
    <w:p w:rsidR="00332854" w:rsidRPr="001570AC" w:rsidRDefault="00332854" w:rsidP="00332854">
      <w:pPr>
        <w:pStyle w:val="NormalWeb"/>
        <w:widowControl w:val="0"/>
        <w:spacing w:before="120" w:beforeAutospacing="0" w:after="120" w:afterAutospacing="0"/>
        <w:ind w:firstLine="709"/>
        <w:jc w:val="both"/>
        <w:rPr>
          <w:sz w:val="28"/>
          <w:szCs w:val="28"/>
        </w:rPr>
      </w:pPr>
      <w:r w:rsidRPr="001570AC">
        <w:rPr>
          <w:sz w:val="28"/>
          <w:szCs w:val="28"/>
        </w:rPr>
        <w:t>-  Chủ trì rà soát, đề xuất bổ sung các dự án ưu tiên theo hình thức PPP trong kế hoạch trung hạn 2016-2020 và ưu tiên bố trí vốn trong kế hoạch trung hạn 2021-2025.</w:t>
      </w:r>
    </w:p>
    <w:p w:rsidR="00332854" w:rsidRPr="001570AC" w:rsidRDefault="00332854" w:rsidP="00332854">
      <w:pPr>
        <w:widowControl w:val="0"/>
        <w:spacing w:after="120" w:line="240" w:lineRule="auto"/>
        <w:ind w:left="0" w:firstLine="709"/>
        <w:rPr>
          <w:rFonts w:eastAsia="Times New Roman"/>
          <w:szCs w:val="28"/>
        </w:rPr>
      </w:pPr>
      <w:r w:rsidRPr="001570AC">
        <w:rPr>
          <w:rFonts w:eastAsia="Times New Roman"/>
          <w:szCs w:val="28"/>
        </w:rPr>
        <w:t>- Tổng hợp nội dung xúc tiến đầu tư hạ tầng thủy sản với các nhà đầu tư, nhà tài trợ vốn trong các hoạt động xúc tiến đầu tư của Bộ.</w:t>
      </w:r>
    </w:p>
    <w:p w:rsidR="00332854" w:rsidRPr="001570AC" w:rsidRDefault="00332854" w:rsidP="00332854">
      <w:pPr>
        <w:widowControl w:val="0"/>
        <w:spacing w:after="120" w:line="240" w:lineRule="auto"/>
        <w:ind w:left="0" w:firstLine="709"/>
        <w:rPr>
          <w:rFonts w:eastAsia="Times New Roman"/>
          <w:szCs w:val="28"/>
        </w:rPr>
      </w:pPr>
      <w:r>
        <w:rPr>
          <w:rFonts w:eastAsia="Times New Roman"/>
          <w:szCs w:val="28"/>
        </w:rPr>
        <w:t>c)</w:t>
      </w:r>
      <w:r w:rsidRPr="001570AC">
        <w:rPr>
          <w:rFonts w:eastAsia="Times New Roman"/>
          <w:szCs w:val="28"/>
        </w:rPr>
        <w:t xml:space="preserve"> Vụ Hợp tác Quốc tế:</w:t>
      </w:r>
    </w:p>
    <w:p w:rsidR="00332854" w:rsidRPr="001570AC" w:rsidRDefault="00332854" w:rsidP="00332854">
      <w:pPr>
        <w:widowControl w:val="0"/>
        <w:spacing w:after="120" w:line="240" w:lineRule="auto"/>
        <w:ind w:left="0" w:firstLine="709"/>
        <w:rPr>
          <w:rFonts w:eastAsia="Times New Roman"/>
          <w:szCs w:val="28"/>
        </w:rPr>
      </w:pPr>
      <w:bookmarkStart w:id="1" w:name="dieu_8_2"/>
      <w:r w:rsidRPr="001570AC">
        <w:rPr>
          <w:rFonts w:eastAsia="Times New Roman"/>
          <w:szCs w:val="28"/>
        </w:rPr>
        <w:t>- Chủ trì đàm phán, thu hút nguồn vốn ODA để đầu tư phát triển kết cấu hạ tầng thủy sản.</w:t>
      </w:r>
    </w:p>
    <w:p w:rsidR="00332854" w:rsidRDefault="00332854" w:rsidP="00332854">
      <w:pPr>
        <w:widowControl w:val="0"/>
        <w:spacing w:after="120" w:line="240" w:lineRule="auto"/>
        <w:ind w:left="0" w:firstLine="709"/>
        <w:rPr>
          <w:rFonts w:eastAsia="Times New Roman"/>
          <w:szCs w:val="28"/>
        </w:rPr>
      </w:pPr>
      <w:r w:rsidRPr="001570AC">
        <w:rPr>
          <w:rFonts w:eastAsia="Times New Roman"/>
          <w:szCs w:val="28"/>
        </w:rPr>
        <w:t>- Tổng hợp đề xuất mở rộng cho khối doanh nghiệp và tư nhân được sử dụng nguồn vốn ODA và vốn vay ưu đãi</w:t>
      </w:r>
      <w:r>
        <w:rPr>
          <w:rFonts w:eastAsia="Times New Roman"/>
          <w:szCs w:val="28"/>
        </w:rPr>
        <w:t xml:space="preserve"> khi đàm phán, xây dựng văn kiện dự án.</w:t>
      </w:r>
    </w:p>
    <w:p w:rsidR="00332854" w:rsidRPr="001570AC" w:rsidRDefault="00332854" w:rsidP="00332854">
      <w:pPr>
        <w:widowControl w:val="0"/>
        <w:spacing w:after="120" w:line="240" w:lineRule="auto"/>
        <w:ind w:left="0" w:firstLine="709"/>
        <w:rPr>
          <w:rFonts w:eastAsia="Times New Roman"/>
          <w:szCs w:val="28"/>
        </w:rPr>
      </w:pPr>
      <w:r>
        <w:rPr>
          <w:rFonts w:eastAsia="Times New Roman"/>
          <w:szCs w:val="28"/>
        </w:rPr>
        <w:t>d)</w:t>
      </w:r>
      <w:r w:rsidRPr="001570AC">
        <w:rPr>
          <w:rFonts w:eastAsia="Times New Roman"/>
          <w:szCs w:val="28"/>
        </w:rPr>
        <w:t xml:space="preserve"> Vụ Tổ chức cán bộ</w:t>
      </w:r>
      <w:bookmarkEnd w:id="1"/>
      <w:r w:rsidRPr="001570AC">
        <w:rPr>
          <w:rFonts w:eastAsia="Times New Roman"/>
          <w:szCs w:val="28"/>
        </w:rPr>
        <w:t>:</w:t>
      </w:r>
    </w:p>
    <w:p w:rsidR="00332854" w:rsidRPr="001570AC" w:rsidRDefault="00332854" w:rsidP="00332854">
      <w:pPr>
        <w:pStyle w:val="NormalWeb"/>
        <w:widowControl w:val="0"/>
        <w:spacing w:before="120" w:beforeAutospacing="0" w:after="120" w:afterAutospacing="0"/>
        <w:ind w:firstLine="709"/>
        <w:jc w:val="both"/>
        <w:rPr>
          <w:sz w:val="28"/>
          <w:szCs w:val="28"/>
        </w:rPr>
      </w:pPr>
      <w:r w:rsidRPr="001570AC">
        <w:rPr>
          <w:sz w:val="28"/>
          <w:szCs w:val="28"/>
        </w:rPr>
        <w:t>- Chủ trì tham mưu xây dựng chức năng, nhiệm vụ, phân giao rõ trách nhiệm, cơ chế phối hợp quản lý các dự án PPP ngành nông nghiệp giữa các đơn vị tham mưu thuộc Bộ.</w:t>
      </w:r>
    </w:p>
    <w:p w:rsidR="00332854" w:rsidRPr="001570AC" w:rsidRDefault="00332854" w:rsidP="00332854">
      <w:pPr>
        <w:pStyle w:val="NormalWeb"/>
        <w:widowControl w:val="0"/>
        <w:spacing w:before="120" w:beforeAutospacing="0" w:after="120" w:afterAutospacing="0"/>
        <w:ind w:firstLine="709"/>
        <w:jc w:val="both"/>
        <w:rPr>
          <w:rFonts w:ascii="Arial" w:hAnsi="Arial" w:cs="Arial"/>
          <w:sz w:val="28"/>
          <w:szCs w:val="28"/>
        </w:rPr>
      </w:pPr>
      <w:r w:rsidRPr="001570AC">
        <w:rPr>
          <w:sz w:val="28"/>
          <w:szCs w:val="28"/>
        </w:rPr>
        <w:lastRenderedPageBreak/>
        <w:t>- Hướng dẫn chuyển đổi mô hình hoạt động của các đơn vị quản lý vận hành hệ thống kết cấu hạ tầng thủy sản (Ban quản lý cảng cá, trung tâm giống....).</w:t>
      </w:r>
    </w:p>
    <w:p w:rsidR="00332854" w:rsidRPr="001570AC" w:rsidRDefault="00332854" w:rsidP="00332854">
      <w:pPr>
        <w:widowControl w:val="0"/>
        <w:spacing w:after="120" w:line="240" w:lineRule="auto"/>
        <w:ind w:left="0" w:firstLine="709"/>
        <w:rPr>
          <w:rFonts w:eastAsia="Times New Roman"/>
          <w:szCs w:val="28"/>
        </w:rPr>
      </w:pPr>
      <w:r>
        <w:rPr>
          <w:rFonts w:eastAsia="Times New Roman"/>
          <w:szCs w:val="28"/>
        </w:rPr>
        <w:t>đ)</w:t>
      </w:r>
      <w:r w:rsidRPr="001570AC">
        <w:rPr>
          <w:rFonts w:eastAsia="Times New Roman"/>
          <w:szCs w:val="28"/>
        </w:rPr>
        <w:t xml:space="preserve"> </w:t>
      </w:r>
      <w:bookmarkStart w:id="2" w:name="dieu_6_4"/>
      <w:r w:rsidRPr="001570AC">
        <w:rPr>
          <w:rFonts w:eastAsia="Times New Roman"/>
          <w:szCs w:val="28"/>
        </w:rPr>
        <w:t>Vụ Quản lý doanh nghiệp :</w:t>
      </w:r>
    </w:p>
    <w:p w:rsidR="00332854" w:rsidRPr="001570AC" w:rsidRDefault="00332854" w:rsidP="00332854">
      <w:pPr>
        <w:pStyle w:val="NormalWeb"/>
        <w:widowControl w:val="0"/>
        <w:spacing w:before="120" w:beforeAutospacing="0" w:after="120" w:afterAutospacing="0"/>
        <w:ind w:firstLine="709"/>
        <w:jc w:val="both"/>
        <w:rPr>
          <w:sz w:val="28"/>
          <w:szCs w:val="28"/>
        </w:rPr>
      </w:pPr>
      <w:r w:rsidRPr="001570AC">
        <w:rPr>
          <w:sz w:val="28"/>
          <w:szCs w:val="28"/>
        </w:rPr>
        <w:t>Tiếp tục đẩy mạnh cổ phần hóa các doanh nghiệp thủy sản đồng thời có giải pháp khuyến khích doanh nghiệp sau cổ phần tiếp tục đầu tư xây dựng mới, cải tạo, nâng cấp mở rộng kết cấu hạ tầng thủy sản để sản xuất kinh doanh lâu dài.</w:t>
      </w:r>
    </w:p>
    <w:p w:rsidR="00332854" w:rsidRPr="001570AC" w:rsidRDefault="00332854" w:rsidP="00332854">
      <w:pPr>
        <w:widowControl w:val="0"/>
        <w:spacing w:after="120" w:line="240" w:lineRule="auto"/>
        <w:ind w:left="0" w:firstLine="709"/>
        <w:rPr>
          <w:rFonts w:eastAsia="Times New Roman"/>
          <w:szCs w:val="28"/>
        </w:rPr>
      </w:pPr>
      <w:bookmarkStart w:id="3" w:name="dieu_7_3"/>
      <w:bookmarkEnd w:id="2"/>
      <w:r>
        <w:rPr>
          <w:rFonts w:eastAsia="Times New Roman"/>
          <w:szCs w:val="28"/>
        </w:rPr>
        <w:t>e)</w:t>
      </w:r>
      <w:r w:rsidRPr="001570AC">
        <w:rPr>
          <w:rFonts w:eastAsia="Times New Roman"/>
          <w:szCs w:val="28"/>
        </w:rPr>
        <w:t xml:space="preserve"> Vụ Khoa học, công nghệ và môi trường</w:t>
      </w:r>
      <w:bookmarkEnd w:id="3"/>
    </w:p>
    <w:p w:rsidR="00332854" w:rsidRPr="001570AC" w:rsidRDefault="00332854" w:rsidP="00332854">
      <w:pPr>
        <w:pStyle w:val="NormalWeb"/>
        <w:widowControl w:val="0"/>
        <w:spacing w:before="120" w:beforeAutospacing="0" w:after="120" w:afterAutospacing="0"/>
        <w:ind w:firstLine="709"/>
        <w:jc w:val="both"/>
        <w:rPr>
          <w:sz w:val="28"/>
          <w:szCs w:val="28"/>
        </w:rPr>
      </w:pPr>
      <w:r w:rsidRPr="001570AC">
        <w:rPr>
          <w:sz w:val="28"/>
          <w:szCs w:val="28"/>
        </w:rPr>
        <w:t>- Chủ trì thẩm định trình Bộ các văn bản liên quan đến tiêu chuẩn, quy chuẩn kỹ thuật theo quy định.</w:t>
      </w:r>
    </w:p>
    <w:p w:rsidR="00332854" w:rsidRDefault="00332854" w:rsidP="00332854">
      <w:pPr>
        <w:pStyle w:val="NormalWeb"/>
        <w:widowControl w:val="0"/>
        <w:spacing w:before="120" w:beforeAutospacing="0" w:after="120" w:afterAutospacing="0"/>
        <w:ind w:firstLine="709"/>
        <w:jc w:val="both"/>
        <w:rPr>
          <w:sz w:val="28"/>
          <w:szCs w:val="28"/>
        </w:rPr>
      </w:pPr>
      <w:r w:rsidRPr="001570AC">
        <w:rPr>
          <w:sz w:val="28"/>
          <w:szCs w:val="28"/>
        </w:rPr>
        <w:t>- Chủ trì tham mưu về đổi mới công tác khoa học kỹ thuật và đẩy mạnh cơ giới hóa, hiện đại hoá công tác xây dựng, quản lý bảo trì kết cấu hạ tầng ngành</w:t>
      </w:r>
      <w:r w:rsidRPr="00CA16C1">
        <w:rPr>
          <w:sz w:val="28"/>
          <w:szCs w:val="28"/>
        </w:rPr>
        <w:t xml:space="preserve"> trong đó có thủy sản.</w:t>
      </w:r>
    </w:p>
    <w:p w:rsidR="00332854" w:rsidRPr="001570AC" w:rsidRDefault="00332854" w:rsidP="00332854">
      <w:pPr>
        <w:widowControl w:val="0"/>
        <w:shd w:val="clear" w:color="auto" w:fill="FFFFFF"/>
        <w:spacing w:after="120" w:line="240" w:lineRule="auto"/>
        <w:ind w:left="0" w:firstLine="709"/>
        <w:rPr>
          <w:rFonts w:eastAsia="Times New Roman" w:cs="Times New Roman"/>
          <w:b/>
          <w:bCs/>
          <w:color w:val="000000"/>
          <w:szCs w:val="28"/>
        </w:rPr>
      </w:pPr>
      <w:r w:rsidRPr="001570AC">
        <w:rPr>
          <w:rFonts w:eastAsia="Times New Roman" w:cs="Times New Roman"/>
          <w:b/>
          <w:bCs/>
          <w:color w:val="000000"/>
          <w:szCs w:val="28"/>
        </w:rPr>
        <w:t>2. Ủy ban nhân dân các tỉnh/thành phố</w:t>
      </w:r>
    </w:p>
    <w:p w:rsidR="00332854" w:rsidRDefault="00332854" w:rsidP="00332854">
      <w:pPr>
        <w:pStyle w:val="NormalWeb"/>
        <w:widowControl w:val="0"/>
        <w:spacing w:before="120" w:beforeAutospacing="0" w:after="120" w:afterAutospacing="0"/>
        <w:ind w:firstLine="709"/>
        <w:jc w:val="both"/>
        <w:rPr>
          <w:sz w:val="28"/>
          <w:szCs w:val="28"/>
        </w:rPr>
      </w:pPr>
      <w:r>
        <w:rPr>
          <w:sz w:val="28"/>
          <w:szCs w:val="28"/>
        </w:rPr>
        <w:t>- Chỉ đạo các đơn vị chuyên môn trực thuộc chủ động đề xuất, kêu gọi đầu tư từ nguồn vốn ngoài ngân sách đầu tư cơ sở hạ tầng thủy sản trên địa bàn.</w:t>
      </w:r>
    </w:p>
    <w:p w:rsidR="00332854" w:rsidRDefault="00332854" w:rsidP="00332854">
      <w:pPr>
        <w:pStyle w:val="NormalWeb"/>
        <w:widowControl w:val="0"/>
        <w:spacing w:before="120" w:beforeAutospacing="0" w:after="120" w:afterAutospacing="0"/>
        <w:ind w:firstLine="709"/>
        <w:jc w:val="both"/>
        <w:rPr>
          <w:sz w:val="28"/>
          <w:szCs w:val="28"/>
        </w:rPr>
      </w:pPr>
      <w:r>
        <w:rPr>
          <w:sz w:val="28"/>
          <w:szCs w:val="28"/>
        </w:rPr>
        <w:t>- Tạo điều kiện tối đa cho các nhà đầu tư tham gia đầu tư cơ sở hạ tầng thủy sản theo quy định của pháp luật.</w:t>
      </w:r>
    </w:p>
    <w:p w:rsidR="00D43AAD" w:rsidRPr="00332854" w:rsidRDefault="00332854" w:rsidP="00332854">
      <w:pPr>
        <w:pStyle w:val="NormalWeb"/>
        <w:widowControl w:val="0"/>
        <w:spacing w:before="120" w:beforeAutospacing="0" w:after="120" w:afterAutospacing="0"/>
        <w:ind w:firstLine="709"/>
        <w:jc w:val="both"/>
        <w:rPr>
          <w:b/>
          <w:sz w:val="27"/>
          <w:szCs w:val="27"/>
        </w:rPr>
      </w:pPr>
      <w:r>
        <w:rPr>
          <w:sz w:val="28"/>
          <w:szCs w:val="28"/>
        </w:rPr>
        <w:t>- Chủ động xây dựng các chính sách đặc thù của địa phương để thu hút vốn ngoài ngân sách, hỗ trợ nhà đầu tư, nâng cao hiệu quả của dự án.</w:t>
      </w:r>
    </w:p>
    <w:p w:rsidR="00D43AAD" w:rsidRDefault="00D43AAD" w:rsidP="00D43AAD">
      <w:pPr>
        <w:widowControl w:val="0"/>
        <w:spacing w:line="240" w:lineRule="auto"/>
        <w:jc w:val="right"/>
        <w:rPr>
          <w:rFonts w:eastAsia="Times New Roman" w:cs="Times New Roman"/>
          <w:b/>
          <w:sz w:val="25"/>
          <w:szCs w:val="27"/>
        </w:rPr>
      </w:pPr>
      <w:r w:rsidRPr="00D43AAD">
        <w:rPr>
          <w:rFonts w:eastAsia="Times New Roman" w:cs="Times New Roman"/>
          <w:b/>
          <w:sz w:val="25"/>
          <w:szCs w:val="27"/>
        </w:rPr>
        <w:t>TỔNG CỤC THỦY SẢN</w:t>
      </w:r>
    </w:p>
    <w:p w:rsidR="00DF03DC" w:rsidRPr="00D43AAD" w:rsidRDefault="00DF03DC" w:rsidP="00DF03DC">
      <w:pPr>
        <w:widowControl w:val="0"/>
        <w:spacing w:line="240" w:lineRule="auto"/>
        <w:ind w:left="0"/>
        <w:jc w:val="both"/>
        <w:rPr>
          <w:rFonts w:cs="Times New Roman"/>
          <w:b/>
          <w:sz w:val="27"/>
          <w:szCs w:val="27"/>
          <w:shd w:val="clear" w:color="auto" w:fill="FFFFFF"/>
        </w:rPr>
      </w:pPr>
    </w:p>
    <w:sectPr w:rsidR="00DF03DC" w:rsidRPr="00D43AAD" w:rsidSect="00D43AAD">
      <w:footerReference w:type="default" r:id="rId9"/>
      <w:pgSz w:w="11907" w:h="16840" w:code="9"/>
      <w:pgMar w:top="1021" w:right="1021" w:bottom="907" w:left="1701" w:header="454" w:footer="4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56" w:rsidRDefault="00C22356" w:rsidP="003B552C">
      <w:pPr>
        <w:spacing w:before="0" w:line="240" w:lineRule="auto"/>
      </w:pPr>
      <w:r>
        <w:separator/>
      </w:r>
    </w:p>
  </w:endnote>
  <w:endnote w:type="continuationSeparator" w:id="1">
    <w:p w:rsidR="00C22356" w:rsidRDefault="00C22356" w:rsidP="003B552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49812"/>
      <w:docPartObj>
        <w:docPartGallery w:val="Page Numbers (Bottom of Page)"/>
        <w:docPartUnique/>
      </w:docPartObj>
    </w:sdtPr>
    <w:sdtEndPr>
      <w:rPr>
        <w:sz w:val="24"/>
        <w:szCs w:val="24"/>
      </w:rPr>
    </w:sdtEndPr>
    <w:sdtContent>
      <w:p w:rsidR="00A81841" w:rsidRPr="00096CE4" w:rsidRDefault="00FC709E">
        <w:pPr>
          <w:pStyle w:val="Footer"/>
          <w:jc w:val="right"/>
          <w:rPr>
            <w:sz w:val="24"/>
            <w:szCs w:val="24"/>
          </w:rPr>
        </w:pPr>
        <w:r w:rsidRPr="00096CE4">
          <w:rPr>
            <w:sz w:val="24"/>
            <w:szCs w:val="24"/>
          </w:rPr>
          <w:fldChar w:fldCharType="begin"/>
        </w:r>
        <w:r w:rsidR="00A81841" w:rsidRPr="00096CE4">
          <w:rPr>
            <w:sz w:val="24"/>
            <w:szCs w:val="24"/>
          </w:rPr>
          <w:instrText xml:space="preserve"> PAGE   \* MERGEFORMAT </w:instrText>
        </w:r>
        <w:r w:rsidRPr="00096CE4">
          <w:rPr>
            <w:sz w:val="24"/>
            <w:szCs w:val="24"/>
          </w:rPr>
          <w:fldChar w:fldCharType="separate"/>
        </w:r>
        <w:r w:rsidR="000B2793">
          <w:rPr>
            <w:noProof/>
            <w:sz w:val="24"/>
            <w:szCs w:val="24"/>
          </w:rPr>
          <w:t>11</w:t>
        </w:r>
        <w:r w:rsidRPr="00096CE4">
          <w:rPr>
            <w:sz w:val="24"/>
            <w:szCs w:val="24"/>
          </w:rPr>
          <w:fldChar w:fldCharType="end"/>
        </w:r>
      </w:p>
    </w:sdtContent>
  </w:sdt>
  <w:p w:rsidR="00A81841" w:rsidRDefault="00A81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56" w:rsidRDefault="00C22356" w:rsidP="003B552C">
      <w:pPr>
        <w:spacing w:before="0" w:line="240" w:lineRule="auto"/>
      </w:pPr>
      <w:r>
        <w:separator/>
      </w:r>
    </w:p>
  </w:footnote>
  <w:footnote w:type="continuationSeparator" w:id="1">
    <w:p w:rsidR="00C22356" w:rsidRDefault="00C22356" w:rsidP="003B552C">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F9D"/>
    <w:multiLevelType w:val="hybridMultilevel"/>
    <w:tmpl w:val="088E7CB2"/>
    <w:lvl w:ilvl="0" w:tplc="C0D07D3C">
      <w:start w:val="5"/>
      <w:numFmt w:val="bullet"/>
      <w:lvlText w:val="-"/>
      <w:lvlJc w:val="left"/>
      <w:pPr>
        <w:ind w:left="1058" w:hanging="360"/>
      </w:pPr>
      <w:rPr>
        <w:rFonts w:ascii="Times New Roman" w:eastAsia="Times New Roman" w:hAnsi="Times New Roman" w:cs="Times New Roman"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
    <w:nsid w:val="066A2ED3"/>
    <w:multiLevelType w:val="hybridMultilevel"/>
    <w:tmpl w:val="2CB6B7CC"/>
    <w:lvl w:ilvl="0" w:tplc="6158D6BA">
      <w:start w:val="2"/>
      <w:numFmt w:val="upp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
    <w:nsid w:val="096E7722"/>
    <w:multiLevelType w:val="hybridMultilevel"/>
    <w:tmpl w:val="9964119E"/>
    <w:lvl w:ilvl="0" w:tplc="5EE027A6">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A5333A8"/>
    <w:multiLevelType w:val="multilevel"/>
    <w:tmpl w:val="81A05E30"/>
    <w:lvl w:ilvl="0">
      <w:start w:val="1"/>
      <w:numFmt w:val="decimal"/>
      <w:lvlText w:val="%1."/>
      <w:lvlJc w:val="left"/>
      <w:pPr>
        <w:ind w:left="333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4">
    <w:nsid w:val="0F350D5A"/>
    <w:multiLevelType w:val="hybridMultilevel"/>
    <w:tmpl w:val="89BEAB0E"/>
    <w:lvl w:ilvl="0" w:tplc="443AB8F2">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14F118FE"/>
    <w:multiLevelType w:val="hybridMultilevel"/>
    <w:tmpl w:val="2C5290A2"/>
    <w:lvl w:ilvl="0" w:tplc="E6306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F747FD"/>
    <w:multiLevelType w:val="hybridMultilevel"/>
    <w:tmpl w:val="E4FC1868"/>
    <w:lvl w:ilvl="0" w:tplc="C2E2E55E">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308D536B"/>
    <w:multiLevelType w:val="hybridMultilevel"/>
    <w:tmpl w:val="89BEAB0E"/>
    <w:lvl w:ilvl="0" w:tplc="443AB8F2">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3A940D59"/>
    <w:multiLevelType w:val="hybridMultilevel"/>
    <w:tmpl w:val="A1A4803C"/>
    <w:lvl w:ilvl="0" w:tplc="4BBCFDC2">
      <w:start w:val="1"/>
      <w:numFmt w:val="bullet"/>
      <w:lvlText w:val="-"/>
      <w:lvlJc w:val="left"/>
      <w:pPr>
        <w:ind w:left="1069" w:hanging="360"/>
      </w:pPr>
      <w:rPr>
        <w:rFonts w:ascii="Times New Roman Bold" w:eastAsiaTheme="minorHAnsi" w:hAnsi="Times New Roman Bold"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F734FF9"/>
    <w:multiLevelType w:val="hybridMultilevel"/>
    <w:tmpl w:val="8B9C6770"/>
    <w:lvl w:ilvl="0" w:tplc="064CE36E">
      <w:start w:val="1"/>
      <w:numFmt w:val="lowerLetter"/>
      <w:lvlText w:val="%1)"/>
      <w:lvlJc w:val="left"/>
      <w:pPr>
        <w:ind w:left="1440" w:hanging="360"/>
      </w:pPr>
      <w:rPr>
        <w:rFonts w:eastAsia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CF70B5"/>
    <w:multiLevelType w:val="hybridMultilevel"/>
    <w:tmpl w:val="A6D4A3CE"/>
    <w:lvl w:ilvl="0" w:tplc="451EF774">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734F69"/>
    <w:multiLevelType w:val="hybridMultilevel"/>
    <w:tmpl w:val="6E0C634A"/>
    <w:lvl w:ilvl="0" w:tplc="61DCC9F6">
      <w:start w:val="2"/>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FE830A7"/>
    <w:multiLevelType w:val="multilevel"/>
    <w:tmpl w:val="1DEE7664"/>
    <w:lvl w:ilvl="0">
      <w:start w:val="1"/>
      <w:numFmt w:val="upperRoman"/>
      <w:lvlText w:val="%1."/>
      <w:lvlJc w:val="left"/>
      <w:pPr>
        <w:ind w:left="1077" w:hanging="72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501" w:hanging="720"/>
      </w:pPr>
      <w:rPr>
        <w:rFonts w:hint="default"/>
      </w:rPr>
    </w:lvl>
    <w:lvl w:ilvl="3">
      <w:start w:val="1"/>
      <w:numFmt w:val="decimal"/>
      <w:isLgl/>
      <w:lvlText w:val="%1.%2.%3.%4."/>
      <w:lvlJc w:val="left"/>
      <w:pPr>
        <w:ind w:left="3573" w:hanging="1080"/>
      </w:pPr>
      <w:rPr>
        <w:rFonts w:hint="default"/>
      </w:rPr>
    </w:lvl>
    <w:lvl w:ilvl="4">
      <w:start w:val="1"/>
      <w:numFmt w:val="decimal"/>
      <w:isLgl/>
      <w:lvlText w:val="%1.%2.%3.%4.%5."/>
      <w:lvlJc w:val="left"/>
      <w:pPr>
        <w:ind w:left="4285" w:hanging="1080"/>
      </w:pPr>
      <w:rPr>
        <w:rFonts w:hint="default"/>
      </w:rPr>
    </w:lvl>
    <w:lvl w:ilvl="5">
      <w:start w:val="1"/>
      <w:numFmt w:val="decimal"/>
      <w:isLgl/>
      <w:lvlText w:val="%1.%2.%3.%4.%5.%6."/>
      <w:lvlJc w:val="left"/>
      <w:pPr>
        <w:ind w:left="5357" w:hanging="1440"/>
      </w:pPr>
      <w:rPr>
        <w:rFonts w:hint="default"/>
      </w:rPr>
    </w:lvl>
    <w:lvl w:ilvl="6">
      <w:start w:val="1"/>
      <w:numFmt w:val="decimal"/>
      <w:isLgl/>
      <w:lvlText w:val="%1.%2.%3.%4.%5.%6.%7."/>
      <w:lvlJc w:val="left"/>
      <w:pPr>
        <w:ind w:left="6429" w:hanging="1800"/>
      </w:pPr>
      <w:rPr>
        <w:rFonts w:hint="default"/>
      </w:rPr>
    </w:lvl>
    <w:lvl w:ilvl="7">
      <w:start w:val="1"/>
      <w:numFmt w:val="decimal"/>
      <w:isLgl/>
      <w:lvlText w:val="%1.%2.%3.%4.%5.%6.%7.%8."/>
      <w:lvlJc w:val="left"/>
      <w:pPr>
        <w:ind w:left="7141" w:hanging="1800"/>
      </w:pPr>
      <w:rPr>
        <w:rFonts w:hint="default"/>
      </w:rPr>
    </w:lvl>
    <w:lvl w:ilvl="8">
      <w:start w:val="1"/>
      <w:numFmt w:val="decimal"/>
      <w:isLgl/>
      <w:lvlText w:val="%1.%2.%3.%4.%5.%6.%7.%8.%9."/>
      <w:lvlJc w:val="left"/>
      <w:pPr>
        <w:ind w:left="8213" w:hanging="2160"/>
      </w:pPr>
      <w:rPr>
        <w:rFonts w:hint="default"/>
      </w:rPr>
    </w:lvl>
  </w:abstractNum>
  <w:abstractNum w:abstractNumId="13">
    <w:nsid w:val="54C96B9C"/>
    <w:multiLevelType w:val="hybridMultilevel"/>
    <w:tmpl w:val="D25C9402"/>
    <w:lvl w:ilvl="0" w:tplc="CF3841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D43E4D"/>
    <w:multiLevelType w:val="hybridMultilevel"/>
    <w:tmpl w:val="3A98215C"/>
    <w:lvl w:ilvl="0" w:tplc="6DBE6A16">
      <w:start w:val="3"/>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5">
    <w:nsid w:val="63BD12BA"/>
    <w:multiLevelType w:val="hybridMultilevel"/>
    <w:tmpl w:val="FD3C92EC"/>
    <w:lvl w:ilvl="0" w:tplc="EAA682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A685548"/>
    <w:multiLevelType w:val="hybridMultilevel"/>
    <w:tmpl w:val="CF745446"/>
    <w:lvl w:ilvl="0" w:tplc="E4787C74">
      <w:start w:val="2"/>
      <w:numFmt w:val="upp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7">
    <w:nsid w:val="71CF5371"/>
    <w:multiLevelType w:val="hybridMultilevel"/>
    <w:tmpl w:val="C73AA7E0"/>
    <w:lvl w:ilvl="0" w:tplc="5EE027A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3747D70"/>
    <w:multiLevelType w:val="hybridMultilevel"/>
    <w:tmpl w:val="C39A9FD2"/>
    <w:lvl w:ilvl="0" w:tplc="B0121D7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6"/>
  </w:num>
  <w:num w:numId="3">
    <w:abstractNumId w:val="3"/>
  </w:num>
  <w:num w:numId="4">
    <w:abstractNumId w:val="4"/>
  </w:num>
  <w:num w:numId="5">
    <w:abstractNumId w:val="7"/>
  </w:num>
  <w:num w:numId="6">
    <w:abstractNumId w:val="13"/>
  </w:num>
  <w:num w:numId="7">
    <w:abstractNumId w:val="15"/>
  </w:num>
  <w:num w:numId="8">
    <w:abstractNumId w:val="8"/>
  </w:num>
  <w:num w:numId="9">
    <w:abstractNumId w:val="18"/>
  </w:num>
  <w:num w:numId="10">
    <w:abstractNumId w:val="1"/>
  </w:num>
  <w:num w:numId="11">
    <w:abstractNumId w:val="11"/>
  </w:num>
  <w:num w:numId="12">
    <w:abstractNumId w:val="16"/>
  </w:num>
  <w:num w:numId="13">
    <w:abstractNumId w:val="10"/>
  </w:num>
  <w:num w:numId="14">
    <w:abstractNumId w:val="9"/>
  </w:num>
  <w:num w:numId="15">
    <w:abstractNumId w:val="2"/>
  </w:num>
  <w:num w:numId="16">
    <w:abstractNumId w:val="5"/>
  </w:num>
  <w:num w:numId="17">
    <w:abstractNumId w:val="17"/>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B301BD"/>
    <w:rsid w:val="00030DC8"/>
    <w:rsid w:val="000404AF"/>
    <w:rsid w:val="0004281A"/>
    <w:rsid w:val="0004771F"/>
    <w:rsid w:val="000558AA"/>
    <w:rsid w:val="00077480"/>
    <w:rsid w:val="00085178"/>
    <w:rsid w:val="00096CE4"/>
    <w:rsid w:val="000A171A"/>
    <w:rsid w:val="000A71AC"/>
    <w:rsid w:val="000B2793"/>
    <w:rsid w:val="000C393C"/>
    <w:rsid w:val="000F43FF"/>
    <w:rsid w:val="00110DE7"/>
    <w:rsid w:val="0012371C"/>
    <w:rsid w:val="001349FD"/>
    <w:rsid w:val="0014417A"/>
    <w:rsid w:val="00163282"/>
    <w:rsid w:val="001743BF"/>
    <w:rsid w:val="001808DB"/>
    <w:rsid w:val="0018143E"/>
    <w:rsid w:val="001D4809"/>
    <w:rsid w:val="001D6E61"/>
    <w:rsid w:val="001E65E8"/>
    <w:rsid w:val="001F3096"/>
    <w:rsid w:val="002146B3"/>
    <w:rsid w:val="0021720F"/>
    <w:rsid w:val="00217734"/>
    <w:rsid w:val="00223FFE"/>
    <w:rsid w:val="00240FAD"/>
    <w:rsid w:val="00250E6B"/>
    <w:rsid w:val="002573A2"/>
    <w:rsid w:val="0027163A"/>
    <w:rsid w:val="00274322"/>
    <w:rsid w:val="00274F46"/>
    <w:rsid w:val="002B1045"/>
    <w:rsid w:val="002B7773"/>
    <w:rsid w:val="002C2AE1"/>
    <w:rsid w:val="002F02D6"/>
    <w:rsid w:val="002F37DB"/>
    <w:rsid w:val="002F3CD6"/>
    <w:rsid w:val="002F3DC2"/>
    <w:rsid w:val="002F701F"/>
    <w:rsid w:val="002F7186"/>
    <w:rsid w:val="00315593"/>
    <w:rsid w:val="00316B00"/>
    <w:rsid w:val="00323F5C"/>
    <w:rsid w:val="0032585A"/>
    <w:rsid w:val="00326E16"/>
    <w:rsid w:val="00332854"/>
    <w:rsid w:val="00344DF7"/>
    <w:rsid w:val="00356CC6"/>
    <w:rsid w:val="00367DCC"/>
    <w:rsid w:val="0037133D"/>
    <w:rsid w:val="00377815"/>
    <w:rsid w:val="00394877"/>
    <w:rsid w:val="003A0EF1"/>
    <w:rsid w:val="003B552C"/>
    <w:rsid w:val="003C04E4"/>
    <w:rsid w:val="003C4172"/>
    <w:rsid w:val="003D7C1E"/>
    <w:rsid w:val="004005D9"/>
    <w:rsid w:val="004078F7"/>
    <w:rsid w:val="00415F18"/>
    <w:rsid w:val="00431F32"/>
    <w:rsid w:val="00452F07"/>
    <w:rsid w:val="00462B46"/>
    <w:rsid w:val="004757F1"/>
    <w:rsid w:val="00481728"/>
    <w:rsid w:val="004956BE"/>
    <w:rsid w:val="004963DB"/>
    <w:rsid w:val="004A17D1"/>
    <w:rsid w:val="004B1323"/>
    <w:rsid w:val="004C2178"/>
    <w:rsid w:val="004D561E"/>
    <w:rsid w:val="004E0792"/>
    <w:rsid w:val="0050158E"/>
    <w:rsid w:val="00507730"/>
    <w:rsid w:val="00582AE5"/>
    <w:rsid w:val="00593D67"/>
    <w:rsid w:val="00596743"/>
    <w:rsid w:val="005A2522"/>
    <w:rsid w:val="005A7EF7"/>
    <w:rsid w:val="005B7CD2"/>
    <w:rsid w:val="005E0739"/>
    <w:rsid w:val="005E7F4A"/>
    <w:rsid w:val="00603F24"/>
    <w:rsid w:val="00612BDF"/>
    <w:rsid w:val="006169B9"/>
    <w:rsid w:val="00641F4D"/>
    <w:rsid w:val="006541C8"/>
    <w:rsid w:val="0066624F"/>
    <w:rsid w:val="00682BF4"/>
    <w:rsid w:val="006A6078"/>
    <w:rsid w:val="006B37E9"/>
    <w:rsid w:val="006C341E"/>
    <w:rsid w:val="006F5910"/>
    <w:rsid w:val="00707324"/>
    <w:rsid w:val="00724217"/>
    <w:rsid w:val="00724287"/>
    <w:rsid w:val="0072666F"/>
    <w:rsid w:val="00734946"/>
    <w:rsid w:val="007475D1"/>
    <w:rsid w:val="0076145A"/>
    <w:rsid w:val="00765985"/>
    <w:rsid w:val="007710F9"/>
    <w:rsid w:val="007776B0"/>
    <w:rsid w:val="007B4BA5"/>
    <w:rsid w:val="007C5FDC"/>
    <w:rsid w:val="007C6480"/>
    <w:rsid w:val="00810987"/>
    <w:rsid w:val="00816F96"/>
    <w:rsid w:val="00825624"/>
    <w:rsid w:val="0083646C"/>
    <w:rsid w:val="00847244"/>
    <w:rsid w:val="00852D7E"/>
    <w:rsid w:val="008676AD"/>
    <w:rsid w:val="00892FB3"/>
    <w:rsid w:val="008963FF"/>
    <w:rsid w:val="008B0F21"/>
    <w:rsid w:val="008B7462"/>
    <w:rsid w:val="008E0D56"/>
    <w:rsid w:val="009172B7"/>
    <w:rsid w:val="00921A33"/>
    <w:rsid w:val="00921D14"/>
    <w:rsid w:val="00931E1F"/>
    <w:rsid w:val="009454A4"/>
    <w:rsid w:val="009457F9"/>
    <w:rsid w:val="00950843"/>
    <w:rsid w:val="009C629A"/>
    <w:rsid w:val="009E6E1E"/>
    <w:rsid w:val="009F5F87"/>
    <w:rsid w:val="009F6689"/>
    <w:rsid w:val="009F742C"/>
    <w:rsid w:val="00A00579"/>
    <w:rsid w:val="00A3701D"/>
    <w:rsid w:val="00A469BC"/>
    <w:rsid w:val="00A519E0"/>
    <w:rsid w:val="00A543A9"/>
    <w:rsid w:val="00A547F6"/>
    <w:rsid w:val="00A57FF1"/>
    <w:rsid w:val="00A673DA"/>
    <w:rsid w:val="00A81841"/>
    <w:rsid w:val="00A82202"/>
    <w:rsid w:val="00A855AF"/>
    <w:rsid w:val="00A909E4"/>
    <w:rsid w:val="00A9679E"/>
    <w:rsid w:val="00AB4B7B"/>
    <w:rsid w:val="00AC38AB"/>
    <w:rsid w:val="00AC49F8"/>
    <w:rsid w:val="00AF4F8F"/>
    <w:rsid w:val="00AF6B8F"/>
    <w:rsid w:val="00B02C52"/>
    <w:rsid w:val="00B035F3"/>
    <w:rsid w:val="00B07A51"/>
    <w:rsid w:val="00B108AE"/>
    <w:rsid w:val="00B20D68"/>
    <w:rsid w:val="00B20FE6"/>
    <w:rsid w:val="00B301BD"/>
    <w:rsid w:val="00B469C3"/>
    <w:rsid w:val="00B575A0"/>
    <w:rsid w:val="00B61D17"/>
    <w:rsid w:val="00B70C42"/>
    <w:rsid w:val="00B712C6"/>
    <w:rsid w:val="00B7278A"/>
    <w:rsid w:val="00B7511C"/>
    <w:rsid w:val="00BB280D"/>
    <w:rsid w:val="00BD14DE"/>
    <w:rsid w:val="00BE437A"/>
    <w:rsid w:val="00BF6560"/>
    <w:rsid w:val="00C0661C"/>
    <w:rsid w:val="00C07462"/>
    <w:rsid w:val="00C164BE"/>
    <w:rsid w:val="00C22356"/>
    <w:rsid w:val="00C30F7B"/>
    <w:rsid w:val="00C333EE"/>
    <w:rsid w:val="00C52674"/>
    <w:rsid w:val="00C546A8"/>
    <w:rsid w:val="00C570AA"/>
    <w:rsid w:val="00C60B2E"/>
    <w:rsid w:val="00C61C53"/>
    <w:rsid w:val="00C747BA"/>
    <w:rsid w:val="00C7782E"/>
    <w:rsid w:val="00C837B5"/>
    <w:rsid w:val="00C86F37"/>
    <w:rsid w:val="00CC47F8"/>
    <w:rsid w:val="00CC7F54"/>
    <w:rsid w:val="00CE3489"/>
    <w:rsid w:val="00CE38A3"/>
    <w:rsid w:val="00D03C85"/>
    <w:rsid w:val="00D040D7"/>
    <w:rsid w:val="00D07EBD"/>
    <w:rsid w:val="00D2006F"/>
    <w:rsid w:val="00D251E1"/>
    <w:rsid w:val="00D43AAD"/>
    <w:rsid w:val="00D448C5"/>
    <w:rsid w:val="00D46F5F"/>
    <w:rsid w:val="00D60065"/>
    <w:rsid w:val="00D6209D"/>
    <w:rsid w:val="00D67EA5"/>
    <w:rsid w:val="00D67EF7"/>
    <w:rsid w:val="00D80833"/>
    <w:rsid w:val="00D87A64"/>
    <w:rsid w:val="00D973C2"/>
    <w:rsid w:val="00DC1508"/>
    <w:rsid w:val="00DD2416"/>
    <w:rsid w:val="00DD6288"/>
    <w:rsid w:val="00DF03DC"/>
    <w:rsid w:val="00DF361B"/>
    <w:rsid w:val="00E064B3"/>
    <w:rsid w:val="00E1190A"/>
    <w:rsid w:val="00E14B77"/>
    <w:rsid w:val="00E22967"/>
    <w:rsid w:val="00E3600F"/>
    <w:rsid w:val="00E455B9"/>
    <w:rsid w:val="00E456EE"/>
    <w:rsid w:val="00E5543F"/>
    <w:rsid w:val="00E625E4"/>
    <w:rsid w:val="00E67163"/>
    <w:rsid w:val="00E82DEA"/>
    <w:rsid w:val="00E91A18"/>
    <w:rsid w:val="00ED3378"/>
    <w:rsid w:val="00ED3CBD"/>
    <w:rsid w:val="00ED68F7"/>
    <w:rsid w:val="00ED7B8E"/>
    <w:rsid w:val="00EE4073"/>
    <w:rsid w:val="00EF3CBD"/>
    <w:rsid w:val="00EF454E"/>
    <w:rsid w:val="00EF517B"/>
    <w:rsid w:val="00EF78F8"/>
    <w:rsid w:val="00F31289"/>
    <w:rsid w:val="00F46D83"/>
    <w:rsid w:val="00F530D9"/>
    <w:rsid w:val="00F53E73"/>
    <w:rsid w:val="00F617A1"/>
    <w:rsid w:val="00F6563C"/>
    <w:rsid w:val="00F75A5F"/>
    <w:rsid w:val="00F93683"/>
    <w:rsid w:val="00FA24A0"/>
    <w:rsid w:val="00FA2CBC"/>
    <w:rsid w:val="00FA2F2A"/>
    <w:rsid w:val="00FB6B0E"/>
    <w:rsid w:val="00FC709E"/>
    <w:rsid w:val="00FE1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VnTime"/>
        <w:sz w:val="26"/>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BD"/>
    <w:pPr>
      <w:spacing w:before="120" w:line="264" w:lineRule="auto"/>
      <w:ind w:left="357"/>
    </w:pPr>
    <w:rPr>
      <w:rFonts w:cstheme="minorBidi"/>
      <w:sz w:val="28"/>
      <w:szCs w:val="22"/>
    </w:rPr>
  </w:style>
  <w:style w:type="paragraph" w:styleId="Heading2">
    <w:name w:val="heading 2"/>
    <w:basedOn w:val="Normal"/>
    <w:next w:val="Normal"/>
    <w:link w:val="Heading2Char"/>
    <w:uiPriority w:val="9"/>
    <w:unhideWhenUsed/>
    <w:qFormat/>
    <w:rsid w:val="00274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56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562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B301BD"/>
    <w:pPr>
      <w:keepNext/>
      <w:spacing w:before="0" w:line="240" w:lineRule="auto"/>
      <w:ind w:left="0"/>
      <w:jc w:val="right"/>
      <w:outlineLvl w:val="5"/>
    </w:pPr>
    <w:rPr>
      <w:rFonts w:ascii=".VnTime" w:eastAsia="Times New Roman" w:hAnsi=".VnTime"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301BD"/>
    <w:rPr>
      <w:rFonts w:ascii=".VnTime" w:eastAsia="Times New Roman" w:hAnsi=".VnTime" w:cs="Times New Roman"/>
      <w:b/>
      <w:bCs/>
      <w:i/>
      <w:iCs/>
      <w:sz w:val="28"/>
      <w:szCs w:val="24"/>
    </w:rPr>
  </w:style>
  <w:style w:type="paragraph" w:styleId="Title">
    <w:name w:val="Title"/>
    <w:basedOn w:val="Normal"/>
    <w:link w:val="TitleChar"/>
    <w:qFormat/>
    <w:rsid w:val="00B301BD"/>
    <w:pPr>
      <w:spacing w:before="0" w:line="240" w:lineRule="auto"/>
      <w:ind w:left="0"/>
      <w:jc w:val="center"/>
    </w:pPr>
    <w:rPr>
      <w:rFonts w:ascii=".VnTimeH" w:eastAsia="Times New Roman" w:hAnsi=".VnTimeH" w:cs="Times New Roman"/>
      <w:b/>
      <w:bCs/>
      <w:sz w:val="26"/>
      <w:szCs w:val="24"/>
    </w:rPr>
  </w:style>
  <w:style w:type="character" w:customStyle="1" w:styleId="TitleChar">
    <w:name w:val="Title Char"/>
    <w:basedOn w:val="DefaultParagraphFont"/>
    <w:link w:val="Title"/>
    <w:rsid w:val="00B301BD"/>
    <w:rPr>
      <w:rFonts w:ascii=".VnTimeH" w:eastAsia="Times New Roman" w:hAnsi=".VnTimeH" w:cs="Times New Roman"/>
      <w:b/>
      <w:bCs/>
      <w:szCs w:val="24"/>
    </w:rPr>
  </w:style>
  <w:style w:type="paragraph" w:styleId="BodyText2">
    <w:name w:val="Body Text 2"/>
    <w:basedOn w:val="Normal"/>
    <w:link w:val="BodyText2Char"/>
    <w:rsid w:val="00B301BD"/>
    <w:pPr>
      <w:spacing w:before="0" w:line="240" w:lineRule="auto"/>
      <w:ind w:left="0"/>
      <w:jc w:val="both"/>
    </w:pPr>
    <w:rPr>
      <w:rFonts w:ascii=".VnTime" w:eastAsia="Times New Roman" w:hAnsi=".VnTime" w:cs="Times New Roman"/>
      <w:szCs w:val="24"/>
    </w:rPr>
  </w:style>
  <w:style w:type="character" w:customStyle="1" w:styleId="BodyText2Char">
    <w:name w:val="Body Text 2 Char"/>
    <w:basedOn w:val="DefaultParagraphFont"/>
    <w:link w:val="BodyText2"/>
    <w:rsid w:val="00B301BD"/>
    <w:rPr>
      <w:rFonts w:ascii=".VnTime" w:eastAsia="Times New Roman" w:hAnsi=".VnTime" w:cs="Times New Roman"/>
      <w:sz w:val="28"/>
      <w:szCs w:val="24"/>
    </w:rPr>
  </w:style>
  <w:style w:type="paragraph" w:styleId="ListParagraph">
    <w:name w:val="List Paragraph"/>
    <w:basedOn w:val="Normal"/>
    <w:link w:val="ListParagraphChar"/>
    <w:uiPriority w:val="34"/>
    <w:qFormat/>
    <w:rsid w:val="00B301BD"/>
    <w:pPr>
      <w:ind w:left="720"/>
      <w:contextualSpacing/>
    </w:pPr>
  </w:style>
  <w:style w:type="paragraph" w:styleId="BodyTextIndent">
    <w:name w:val="Body Text Indent"/>
    <w:basedOn w:val="Normal"/>
    <w:link w:val="BodyTextIndentChar"/>
    <w:uiPriority w:val="99"/>
    <w:unhideWhenUsed/>
    <w:rsid w:val="001D6E61"/>
    <w:pPr>
      <w:spacing w:after="120"/>
      <w:ind w:left="360"/>
    </w:pPr>
  </w:style>
  <w:style w:type="character" w:customStyle="1" w:styleId="BodyTextIndentChar">
    <w:name w:val="Body Text Indent Char"/>
    <w:basedOn w:val="DefaultParagraphFont"/>
    <w:link w:val="BodyTextIndent"/>
    <w:uiPriority w:val="99"/>
    <w:rsid w:val="001D6E61"/>
    <w:rPr>
      <w:rFonts w:cstheme="minorBidi"/>
      <w:sz w:val="28"/>
      <w:szCs w:val="22"/>
    </w:rPr>
  </w:style>
  <w:style w:type="table" w:styleId="TableGrid">
    <w:name w:val="Table Grid"/>
    <w:basedOn w:val="TableNormal"/>
    <w:uiPriority w:val="39"/>
    <w:rsid w:val="001D6E61"/>
    <w:pPr>
      <w:spacing w:line="240" w:lineRule="auto"/>
      <w:jc w:val="center"/>
    </w:pPr>
    <w:rPr>
      <w:rFonts w:eastAsia="Calibri"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D6E61"/>
    <w:rPr>
      <w:rFonts w:cstheme="minorBidi"/>
      <w:sz w:val="28"/>
      <w:szCs w:val="22"/>
    </w:rPr>
  </w:style>
  <w:style w:type="paragraph" w:styleId="NormalWeb">
    <w:name w:val="Normal (Web)"/>
    <w:basedOn w:val="Normal"/>
    <w:uiPriority w:val="99"/>
    <w:unhideWhenUsed/>
    <w:rsid w:val="00030DC8"/>
    <w:pPr>
      <w:spacing w:before="100" w:beforeAutospacing="1" w:after="100" w:afterAutospacing="1" w:line="240" w:lineRule="auto"/>
      <w:ind w:left="0"/>
    </w:pPr>
    <w:rPr>
      <w:rFonts w:eastAsia="Times New Roman" w:cs="Times New Roman"/>
      <w:sz w:val="24"/>
      <w:szCs w:val="24"/>
    </w:rPr>
  </w:style>
  <w:style w:type="paragraph" w:styleId="BalloonText">
    <w:name w:val="Balloon Text"/>
    <w:basedOn w:val="Normal"/>
    <w:link w:val="BalloonTextChar"/>
    <w:uiPriority w:val="99"/>
    <w:semiHidden/>
    <w:unhideWhenUsed/>
    <w:rsid w:val="000A71A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AC"/>
    <w:rPr>
      <w:rFonts w:ascii="Tahoma" w:hAnsi="Tahoma" w:cs="Tahoma"/>
      <w:sz w:val="16"/>
      <w:szCs w:val="16"/>
    </w:rPr>
  </w:style>
  <w:style w:type="character" w:customStyle="1" w:styleId="Heading2Char">
    <w:name w:val="Heading 2 Char"/>
    <w:basedOn w:val="DefaultParagraphFont"/>
    <w:link w:val="Heading2"/>
    <w:rsid w:val="00274322"/>
    <w:rPr>
      <w:rFonts w:asciiTheme="majorHAnsi" w:eastAsiaTheme="majorEastAsia" w:hAnsiTheme="majorHAnsi" w:cstheme="majorBidi"/>
      <w:b/>
      <w:bCs/>
      <w:color w:val="4F81BD" w:themeColor="accent1"/>
      <w:szCs w:val="26"/>
    </w:rPr>
  </w:style>
  <w:style w:type="paragraph" w:styleId="Header">
    <w:name w:val="header"/>
    <w:basedOn w:val="Normal"/>
    <w:link w:val="HeaderChar"/>
    <w:unhideWhenUsed/>
    <w:rsid w:val="003B552C"/>
    <w:pPr>
      <w:tabs>
        <w:tab w:val="center" w:pos="4680"/>
        <w:tab w:val="right" w:pos="9360"/>
      </w:tabs>
      <w:spacing w:before="0" w:line="240" w:lineRule="auto"/>
    </w:pPr>
  </w:style>
  <w:style w:type="character" w:customStyle="1" w:styleId="HeaderChar">
    <w:name w:val="Header Char"/>
    <w:basedOn w:val="DefaultParagraphFont"/>
    <w:link w:val="Header"/>
    <w:rsid w:val="003B552C"/>
    <w:rPr>
      <w:rFonts w:cstheme="minorBidi"/>
      <w:sz w:val="28"/>
      <w:szCs w:val="22"/>
    </w:rPr>
  </w:style>
  <w:style w:type="paragraph" w:styleId="Footer">
    <w:name w:val="footer"/>
    <w:basedOn w:val="Normal"/>
    <w:link w:val="FooterChar"/>
    <w:uiPriority w:val="99"/>
    <w:unhideWhenUsed/>
    <w:rsid w:val="003B552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B552C"/>
    <w:rPr>
      <w:rFonts w:cstheme="minorBidi"/>
      <w:sz w:val="28"/>
      <w:szCs w:val="22"/>
    </w:rPr>
  </w:style>
  <w:style w:type="character" w:customStyle="1" w:styleId="Heading3Char">
    <w:name w:val="Heading 3 Char"/>
    <w:basedOn w:val="DefaultParagraphFont"/>
    <w:link w:val="Heading3"/>
    <w:uiPriority w:val="9"/>
    <w:rsid w:val="00825624"/>
    <w:rPr>
      <w:rFonts w:asciiTheme="majorHAnsi" w:eastAsiaTheme="majorEastAsia" w:hAnsiTheme="majorHAnsi" w:cstheme="majorBidi"/>
      <w:b/>
      <w:bCs/>
      <w:color w:val="4F81BD" w:themeColor="accent1"/>
      <w:sz w:val="28"/>
      <w:szCs w:val="22"/>
    </w:rPr>
  </w:style>
  <w:style w:type="character" w:customStyle="1" w:styleId="Heading4Char">
    <w:name w:val="Heading 4 Char"/>
    <w:basedOn w:val="DefaultParagraphFont"/>
    <w:link w:val="Heading4"/>
    <w:uiPriority w:val="9"/>
    <w:rsid w:val="00825624"/>
    <w:rPr>
      <w:rFonts w:asciiTheme="majorHAnsi" w:eastAsiaTheme="majorEastAsia" w:hAnsiTheme="majorHAnsi" w:cstheme="majorBidi"/>
      <w:b/>
      <w:bCs/>
      <w:i/>
      <w:iCs/>
      <w:color w:val="4F81BD" w:themeColor="accent1"/>
      <w:sz w:val="28"/>
      <w:szCs w:val="22"/>
    </w:rPr>
  </w:style>
  <w:style w:type="character" w:customStyle="1" w:styleId="apple-converted-space">
    <w:name w:val="apple-converted-space"/>
    <w:rsid w:val="00D67EA5"/>
    <w:rPr>
      <w:rFonts w:cs="Times New Roman"/>
    </w:rPr>
  </w:style>
  <w:style w:type="paragraph" w:customStyle="1" w:styleId="nqtitle">
    <w:name w:val="nqtitle"/>
    <w:basedOn w:val="Normal"/>
    <w:rsid w:val="00ED68F7"/>
    <w:pPr>
      <w:spacing w:before="100" w:beforeAutospacing="1" w:after="100" w:afterAutospacing="1" w:line="240" w:lineRule="auto"/>
      <w:ind w:left="0"/>
    </w:pPr>
    <w:rPr>
      <w:rFonts w:eastAsia="Times New Roman" w:cs="Times New Roman"/>
      <w:sz w:val="24"/>
      <w:szCs w:val="24"/>
    </w:rPr>
  </w:style>
  <w:style w:type="character" w:styleId="Hyperlink">
    <w:name w:val="Hyperlink"/>
    <w:basedOn w:val="DefaultParagraphFont"/>
    <w:uiPriority w:val="99"/>
    <w:semiHidden/>
    <w:unhideWhenUsed/>
    <w:rsid w:val="00ED68F7"/>
    <w:rPr>
      <w:color w:val="0000FF"/>
      <w:u w:val="single"/>
    </w:rPr>
  </w:style>
  <w:style w:type="character" w:styleId="Emphasis">
    <w:name w:val="Emphasis"/>
    <w:basedOn w:val="DefaultParagraphFont"/>
    <w:uiPriority w:val="20"/>
    <w:qFormat/>
    <w:rsid w:val="00ED68F7"/>
    <w:rPr>
      <w:i/>
      <w:iCs/>
    </w:rPr>
  </w:style>
  <w:style w:type="character" w:styleId="FootnoteReference">
    <w:name w:val="footnote reference"/>
    <w:unhideWhenUsed/>
    <w:rsid w:val="00EF3C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VnTime"/>
        <w:sz w:val="26"/>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BD"/>
    <w:pPr>
      <w:spacing w:before="120" w:line="264" w:lineRule="auto"/>
      <w:ind w:left="357"/>
    </w:pPr>
    <w:rPr>
      <w:rFonts w:cstheme="minorBidi"/>
      <w:sz w:val="28"/>
      <w:szCs w:val="22"/>
    </w:rPr>
  </w:style>
  <w:style w:type="paragraph" w:styleId="Heading2">
    <w:name w:val="heading 2"/>
    <w:basedOn w:val="Normal"/>
    <w:next w:val="Normal"/>
    <w:link w:val="Heading2Char"/>
    <w:uiPriority w:val="9"/>
    <w:unhideWhenUsed/>
    <w:qFormat/>
    <w:rsid w:val="00274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56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562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B301BD"/>
    <w:pPr>
      <w:keepNext/>
      <w:spacing w:before="0" w:line="240" w:lineRule="auto"/>
      <w:ind w:left="0"/>
      <w:jc w:val="right"/>
      <w:outlineLvl w:val="5"/>
    </w:pPr>
    <w:rPr>
      <w:rFonts w:ascii=".VnTime" w:eastAsia="Times New Roman" w:hAnsi=".VnTime"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301BD"/>
    <w:rPr>
      <w:rFonts w:ascii=".VnTime" w:eastAsia="Times New Roman" w:hAnsi=".VnTime" w:cs="Times New Roman"/>
      <w:b/>
      <w:bCs/>
      <w:i/>
      <w:iCs/>
      <w:sz w:val="28"/>
      <w:szCs w:val="24"/>
    </w:rPr>
  </w:style>
  <w:style w:type="paragraph" w:styleId="Title">
    <w:name w:val="Title"/>
    <w:basedOn w:val="Normal"/>
    <w:link w:val="TitleChar"/>
    <w:qFormat/>
    <w:rsid w:val="00B301BD"/>
    <w:pPr>
      <w:spacing w:before="0" w:line="240" w:lineRule="auto"/>
      <w:ind w:left="0"/>
      <w:jc w:val="center"/>
    </w:pPr>
    <w:rPr>
      <w:rFonts w:ascii=".VnTimeH" w:eastAsia="Times New Roman" w:hAnsi=".VnTimeH" w:cs="Times New Roman"/>
      <w:b/>
      <w:bCs/>
      <w:sz w:val="26"/>
      <w:szCs w:val="24"/>
    </w:rPr>
  </w:style>
  <w:style w:type="character" w:customStyle="1" w:styleId="TitleChar">
    <w:name w:val="Title Char"/>
    <w:basedOn w:val="DefaultParagraphFont"/>
    <w:link w:val="Title"/>
    <w:rsid w:val="00B301BD"/>
    <w:rPr>
      <w:rFonts w:ascii=".VnTimeH" w:eastAsia="Times New Roman" w:hAnsi=".VnTimeH" w:cs="Times New Roman"/>
      <w:b/>
      <w:bCs/>
      <w:szCs w:val="24"/>
    </w:rPr>
  </w:style>
  <w:style w:type="paragraph" w:styleId="BodyText2">
    <w:name w:val="Body Text 2"/>
    <w:basedOn w:val="Normal"/>
    <w:link w:val="BodyText2Char"/>
    <w:rsid w:val="00B301BD"/>
    <w:pPr>
      <w:spacing w:before="0" w:line="240" w:lineRule="auto"/>
      <w:ind w:left="0"/>
      <w:jc w:val="both"/>
    </w:pPr>
    <w:rPr>
      <w:rFonts w:ascii=".VnTime" w:eastAsia="Times New Roman" w:hAnsi=".VnTime" w:cs="Times New Roman"/>
      <w:szCs w:val="24"/>
    </w:rPr>
  </w:style>
  <w:style w:type="character" w:customStyle="1" w:styleId="BodyText2Char">
    <w:name w:val="Body Text 2 Char"/>
    <w:basedOn w:val="DefaultParagraphFont"/>
    <w:link w:val="BodyText2"/>
    <w:rsid w:val="00B301BD"/>
    <w:rPr>
      <w:rFonts w:ascii=".VnTime" w:eastAsia="Times New Roman" w:hAnsi=".VnTime" w:cs="Times New Roman"/>
      <w:sz w:val="28"/>
      <w:szCs w:val="24"/>
    </w:rPr>
  </w:style>
  <w:style w:type="paragraph" w:styleId="ListParagraph">
    <w:name w:val="List Paragraph"/>
    <w:basedOn w:val="Normal"/>
    <w:link w:val="ListParagraphChar"/>
    <w:uiPriority w:val="99"/>
    <w:qFormat/>
    <w:rsid w:val="00B301BD"/>
    <w:pPr>
      <w:ind w:left="720"/>
      <w:contextualSpacing/>
    </w:pPr>
  </w:style>
  <w:style w:type="paragraph" w:styleId="BodyTextIndent">
    <w:name w:val="Body Text Indent"/>
    <w:basedOn w:val="Normal"/>
    <w:link w:val="BodyTextIndentChar"/>
    <w:uiPriority w:val="99"/>
    <w:semiHidden/>
    <w:unhideWhenUsed/>
    <w:rsid w:val="001D6E61"/>
    <w:pPr>
      <w:spacing w:after="120"/>
      <w:ind w:left="360"/>
    </w:pPr>
  </w:style>
  <w:style w:type="character" w:customStyle="1" w:styleId="BodyTextIndentChar">
    <w:name w:val="Body Text Indent Char"/>
    <w:basedOn w:val="DefaultParagraphFont"/>
    <w:link w:val="BodyTextIndent"/>
    <w:uiPriority w:val="99"/>
    <w:semiHidden/>
    <w:rsid w:val="001D6E61"/>
    <w:rPr>
      <w:rFonts w:cstheme="minorBidi"/>
      <w:sz w:val="28"/>
      <w:szCs w:val="22"/>
    </w:rPr>
  </w:style>
  <w:style w:type="table" w:styleId="TableGrid">
    <w:name w:val="Table Grid"/>
    <w:basedOn w:val="TableNormal"/>
    <w:uiPriority w:val="39"/>
    <w:rsid w:val="001D6E61"/>
    <w:pPr>
      <w:spacing w:line="240" w:lineRule="auto"/>
      <w:jc w:val="center"/>
    </w:pPr>
    <w:rPr>
      <w:rFonts w:eastAsia="Calibri"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D6E61"/>
    <w:rPr>
      <w:rFonts w:cstheme="minorBidi"/>
      <w:sz w:val="28"/>
      <w:szCs w:val="22"/>
    </w:rPr>
  </w:style>
  <w:style w:type="paragraph" w:styleId="NormalWeb">
    <w:name w:val="Normal (Web)"/>
    <w:basedOn w:val="Normal"/>
    <w:uiPriority w:val="99"/>
    <w:unhideWhenUsed/>
    <w:rsid w:val="00030DC8"/>
    <w:pPr>
      <w:spacing w:before="100" w:beforeAutospacing="1" w:after="100" w:afterAutospacing="1" w:line="240" w:lineRule="auto"/>
      <w:ind w:left="0"/>
    </w:pPr>
    <w:rPr>
      <w:rFonts w:eastAsia="Times New Roman" w:cs="Times New Roman"/>
      <w:sz w:val="24"/>
      <w:szCs w:val="24"/>
    </w:rPr>
  </w:style>
  <w:style w:type="paragraph" w:styleId="BalloonText">
    <w:name w:val="Balloon Text"/>
    <w:basedOn w:val="Normal"/>
    <w:link w:val="BalloonTextChar"/>
    <w:uiPriority w:val="99"/>
    <w:semiHidden/>
    <w:unhideWhenUsed/>
    <w:rsid w:val="000A71A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AC"/>
    <w:rPr>
      <w:rFonts w:ascii="Tahoma" w:hAnsi="Tahoma" w:cs="Tahoma"/>
      <w:sz w:val="16"/>
      <w:szCs w:val="16"/>
    </w:rPr>
  </w:style>
  <w:style w:type="character" w:customStyle="1" w:styleId="Heading2Char">
    <w:name w:val="Heading 2 Char"/>
    <w:basedOn w:val="DefaultParagraphFont"/>
    <w:link w:val="Heading2"/>
    <w:rsid w:val="00274322"/>
    <w:rPr>
      <w:rFonts w:asciiTheme="majorHAnsi" w:eastAsiaTheme="majorEastAsia" w:hAnsiTheme="majorHAnsi" w:cstheme="majorBidi"/>
      <w:b/>
      <w:bCs/>
      <w:color w:val="4F81BD" w:themeColor="accent1"/>
      <w:szCs w:val="26"/>
    </w:rPr>
  </w:style>
  <w:style w:type="paragraph" w:styleId="Header">
    <w:name w:val="header"/>
    <w:basedOn w:val="Normal"/>
    <w:link w:val="HeaderChar"/>
    <w:unhideWhenUsed/>
    <w:rsid w:val="003B552C"/>
    <w:pPr>
      <w:tabs>
        <w:tab w:val="center" w:pos="4680"/>
        <w:tab w:val="right" w:pos="9360"/>
      </w:tabs>
      <w:spacing w:before="0" w:line="240" w:lineRule="auto"/>
    </w:pPr>
  </w:style>
  <w:style w:type="character" w:customStyle="1" w:styleId="HeaderChar">
    <w:name w:val="Header Char"/>
    <w:basedOn w:val="DefaultParagraphFont"/>
    <w:link w:val="Header"/>
    <w:rsid w:val="003B552C"/>
    <w:rPr>
      <w:rFonts w:cstheme="minorBidi"/>
      <w:sz w:val="28"/>
      <w:szCs w:val="22"/>
    </w:rPr>
  </w:style>
  <w:style w:type="paragraph" w:styleId="Footer">
    <w:name w:val="footer"/>
    <w:basedOn w:val="Normal"/>
    <w:link w:val="FooterChar"/>
    <w:uiPriority w:val="99"/>
    <w:unhideWhenUsed/>
    <w:rsid w:val="003B552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B552C"/>
    <w:rPr>
      <w:rFonts w:cstheme="minorBidi"/>
      <w:sz w:val="28"/>
      <w:szCs w:val="22"/>
    </w:rPr>
  </w:style>
  <w:style w:type="character" w:customStyle="1" w:styleId="Heading3Char">
    <w:name w:val="Heading 3 Char"/>
    <w:basedOn w:val="DefaultParagraphFont"/>
    <w:link w:val="Heading3"/>
    <w:uiPriority w:val="9"/>
    <w:rsid w:val="00825624"/>
    <w:rPr>
      <w:rFonts w:asciiTheme="majorHAnsi" w:eastAsiaTheme="majorEastAsia" w:hAnsiTheme="majorHAnsi" w:cstheme="majorBidi"/>
      <w:b/>
      <w:bCs/>
      <w:color w:val="4F81BD" w:themeColor="accent1"/>
      <w:sz w:val="28"/>
      <w:szCs w:val="22"/>
    </w:rPr>
  </w:style>
  <w:style w:type="character" w:customStyle="1" w:styleId="Heading4Char">
    <w:name w:val="Heading 4 Char"/>
    <w:basedOn w:val="DefaultParagraphFont"/>
    <w:link w:val="Heading4"/>
    <w:uiPriority w:val="9"/>
    <w:rsid w:val="00825624"/>
    <w:rPr>
      <w:rFonts w:asciiTheme="majorHAnsi" w:eastAsiaTheme="majorEastAsia" w:hAnsiTheme="majorHAnsi" w:cstheme="majorBidi"/>
      <w:b/>
      <w:bCs/>
      <w:i/>
      <w:iCs/>
      <w:color w:val="4F81BD" w:themeColor="accent1"/>
      <w:sz w:val="28"/>
      <w:szCs w:val="22"/>
    </w:rPr>
  </w:style>
  <w:style w:type="character" w:customStyle="1" w:styleId="apple-converted-space">
    <w:name w:val="apple-converted-space"/>
    <w:rsid w:val="00D67EA5"/>
    <w:rPr>
      <w:rFonts w:cs="Times New Roman"/>
    </w:rPr>
  </w:style>
  <w:style w:type="paragraph" w:customStyle="1" w:styleId="nqtitle">
    <w:name w:val="nqtitle"/>
    <w:basedOn w:val="Normal"/>
    <w:rsid w:val="00ED68F7"/>
    <w:pPr>
      <w:spacing w:before="100" w:beforeAutospacing="1" w:after="100" w:afterAutospacing="1" w:line="240" w:lineRule="auto"/>
      <w:ind w:left="0"/>
    </w:pPr>
    <w:rPr>
      <w:rFonts w:eastAsia="Times New Roman" w:cs="Times New Roman"/>
      <w:sz w:val="24"/>
      <w:szCs w:val="24"/>
    </w:rPr>
  </w:style>
  <w:style w:type="character" w:styleId="Hyperlink">
    <w:name w:val="Hyperlink"/>
    <w:basedOn w:val="DefaultParagraphFont"/>
    <w:uiPriority w:val="99"/>
    <w:semiHidden/>
    <w:unhideWhenUsed/>
    <w:rsid w:val="00ED68F7"/>
    <w:rPr>
      <w:color w:val="0000FF"/>
      <w:u w:val="single"/>
    </w:rPr>
  </w:style>
  <w:style w:type="character" w:styleId="Emphasis">
    <w:name w:val="Emphasis"/>
    <w:basedOn w:val="DefaultParagraphFont"/>
    <w:uiPriority w:val="20"/>
    <w:qFormat/>
    <w:rsid w:val="00ED68F7"/>
    <w:rPr>
      <w:i/>
      <w:iCs/>
    </w:rPr>
  </w:style>
</w:styles>
</file>

<file path=word/webSettings.xml><?xml version="1.0" encoding="utf-8"?>
<w:webSettings xmlns:r="http://schemas.openxmlformats.org/officeDocument/2006/relationships" xmlns:w="http://schemas.openxmlformats.org/wordprocessingml/2006/main">
  <w:divs>
    <w:div w:id="31076335">
      <w:bodyDiv w:val="1"/>
      <w:marLeft w:val="0"/>
      <w:marRight w:val="0"/>
      <w:marTop w:val="0"/>
      <w:marBottom w:val="0"/>
      <w:divBdr>
        <w:top w:val="none" w:sz="0" w:space="0" w:color="auto"/>
        <w:left w:val="none" w:sz="0" w:space="0" w:color="auto"/>
        <w:bottom w:val="none" w:sz="0" w:space="0" w:color="auto"/>
        <w:right w:val="none" w:sz="0" w:space="0" w:color="auto"/>
      </w:divBdr>
    </w:div>
    <w:div w:id="208297656">
      <w:bodyDiv w:val="1"/>
      <w:marLeft w:val="0"/>
      <w:marRight w:val="0"/>
      <w:marTop w:val="0"/>
      <w:marBottom w:val="0"/>
      <w:divBdr>
        <w:top w:val="none" w:sz="0" w:space="0" w:color="auto"/>
        <w:left w:val="none" w:sz="0" w:space="0" w:color="auto"/>
        <w:bottom w:val="none" w:sz="0" w:space="0" w:color="auto"/>
        <w:right w:val="none" w:sz="0" w:space="0" w:color="auto"/>
      </w:divBdr>
    </w:div>
    <w:div w:id="754935816">
      <w:bodyDiv w:val="1"/>
      <w:marLeft w:val="0"/>
      <w:marRight w:val="0"/>
      <w:marTop w:val="0"/>
      <w:marBottom w:val="0"/>
      <w:divBdr>
        <w:top w:val="none" w:sz="0" w:space="0" w:color="auto"/>
        <w:left w:val="none" w:sz="0" w:space="0" w:color="auto"/>
        <w:bottom w:val="none" w:sz="0" w:space="0" w:color="auto"/>
        <w:right w:val="none" w:sz="0" w:space="0" w:color="auto"/>
      </w:divBdr>
    </w:div>
    <w:div w:id="895776531">
      <w:bodyDiv w:val="1"/>
      <w:marLeft w:val="0"/>
      <w:marRight w:val="0"/>
      <w:marTop w:val="0"/>
      <w:marBottom w:val="0"/>
      <w:divBdr>
        <w:top w:val="none" w:sz="0" w:space="0" w:color="auto"/>
        <w:left w:val="none" w:sz="0" w:space="0" w:color="auto"/>
        <w:bottom w:val="none" w:sz="0" w:space="0" w:color="auto"/>
        <w:right w:val="none" w:sz="0" w:space="0" w:color="auto"/>
      </w:divBdr>
    </w:div>
    <w:div w:id="1371147450">
      <w:bodyDiv w:val="1"/>
      <w:marLeft w:val="0"/>
      <w:marRight w:val="0"/>
      <w:marTop w:val="0"/>
      <w:marBottom w:val="0"/>
      <w:divBdr>
        <w:top w:val="none" w:sz="0" w:space="0" w:color="auto"/>
        <w:left w:val="none" w:sz="0" w:space="0" w:color="auto"/>
        <w:bottom w:val="none" w:sz="0" w:space="0" w:color="auto"/>
        <w:right w:val="none" w:sz="0" w:space="0" w:color="auto"/>
      </w:divBdr>
      <w:divsChild>
        <w:div w:id="1243561844">
          <w:marLeft w:val="51"/>
          <w:marRight w:val="0"/>
          <w:marTop w:val="0"/>
          <w:marBottom w:val="0"/>
          <w:divBdr>
            <w:top w:val="none" w:sz="0" w:space="0" w:color="auto"/>
            <w:left w:val="none" w:sz="0" w:space="0" w:color="auto"/>
            <w:bottom w:val="none" w:sz="0" w:space="0" w:color="auto"/>
            <w:right w:val="none" w:sz="0" w:space="0" w:color="auto"/>
          </w:divBdr>
        </w:div>
        <w:div w:id="1611668744">
          <w:marLeft w:val="81"/>
          <w:marRight w:val="0"/>
          <w:marTop w:val="0"/>
          <w:marBottom w:val="0"/>
          <w:divBdr>
            <w:top w:val="none" w:sz="0" w:space="0" w:color="auto"/>
            <w:left w:val="none" w:sz="0" w:space="0" w:color="auto"/>
            <w:bottom w:val="none" w:sz="0" w:space="0" w:color="auto"/>
            <w:right w:val="none" w:sz="0" w:space="0" w:color="auto"/>
          </w:divBdr>
        </w:div>
      </w:divsChild>
    </w:div>
    <w:div w:id="1670911749">
      <w:bodyDiv w:val="1"/>
      <w:marLeft w:val="0"/>
      <w:marRight w:val="0"/>
      <w:marTop w:val="0"/>
      <w:marBottom w:val="0"/>
      <w:divBdr>
        <w:top w:val="none" w:sz="0" w:space="0" w:color="auto"/>
        <w:left w:val="none" w:sz="0" w:space="0" w:color="auto"/>
        <w:bottom w:val="none" w:sz="0" w:space="0" w:color="auto"/>
        <w:right w:val="none" w:sz="0" w:space="0" w:color="auto"/>
      </w:divBdr>
    </w:div>
    <w:div w:id="1741437847">
      <w:bodyDiv w:val="1"/>
      <w:marLeft w:val="0"/>
      <w:marRight w:val="0"/>
      <w:marTop w:val="0"/>
      <w:marBottom w:val="0"/>
      <w:divBdr>
        <w:top w:val="none" w:sz="0" w:space="0" w:color="auto"/>
        <w:left w:val="none" w:sz="0" w:space="0" w:color="auto"/>
        <w:bottom w:val="none" w:sz="0" w:space="0" w:color="auto"/>
        <w:right w:val="none" w:sz="0" w:space="0" w:color="auto"/>
      </w:divBdr>
    </w:div>
    <w:div w:id="19841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7-2014-nd-cp-chinh-sach-phat-trien-thuy-san-238831.asp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A201-BA5A-4BFA-A680-2EAC3296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laithehung</dc:creator>
  <cp:lastModifiedBy>HP_Pro</cp:lastModifiedBy>
  <cp:revision>2</cp:revision>
  <cp:lastPrinted>2018-08-09T10:12:00Z</cp:lastPrinted>
  <dcterms:created xsi:type="dcterms:W3CDTF">2019-01-08T02:19:00Z</dcterms:created>
  <dcterms:modified xsi:type="dcterms:W3CDTF">2019-01-08T02:19:00Z</dcterms:modified>
</cp:coreProperties>
</file>